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tblBorders/>
        <w:jc w:val="left"/>
        <w:tblInd w:type="dxa" w:w="-108"/>
      </w:tblPr>
      <w:tblGrid>
        <w:gridCol w:w="4076"/>
        <w:gridCol w:w="5494"/>
      </w:tblGrid>
      <w:tr>
        <w:trPr>
          <w:cantSplit w:val="off"/>
        </w:trPr>
        <w:tc>
          <w:tcPr>
            <w:tcBorders/>
            <w:shd w:fill="auto"/>
            <w:tcW w:type="dxa" w:w="4076"/>
            <w:tcMar>
              <w:top w:type="dxa" w:w="0"/>
              <w:left w:type="dxa" w:w="108"/>
              <w:bottom w:type="dxa" w:w="0"/>
              <w:right w:type="dxa" w:w="108"/>
            </w:tcMar>
          </w:tcPr>
          <w:p>
            <w:pPr>
              <w:pStyle w:val="style0"/>
              <w:jc w:val="center"/>
              <w:spacing w:line="100" w:lineRule="atLeast"/>
            </w:pPr>
            <w:r>
              <w:rPr>
                <w:sz w:val="28"/>
                <w:szCs w:val="28"/>
              </w:rPr>
            </w:r>
          </w:p>
        </w:tc>
        <w:tc>
          <w:tcPr>
            <w:tcBorders/>
            <w:shd w:fill="auto"/>
            <w:tcW w:type="dxa" w:w="5494"/>
            <w:tcMar>
              <w:top w:type="dxa" w:w="0"/>
              <w:left w:type="dxa" w:w="108"/>
              <w:bottom w:type="dxa" w:w="0"/>
              <w:right w:type="dxa" w:w="108"/>
            </w:tcMar>
          </w:tcPr>
          <w:p>
            <w:pPr>
              <w:pStyle w:val="style33"/>
              <w:jc w:val="center"/>
              <w:spacing w:line="240" w:lineRule="exact"/>
            </w:pPr>
            <w:r>
              <w:rPr>
                <w:szCs w:val="28"/>
              </w:rPr>
              <w:t>УТВЕРЖДЕНА</w:t>
            </w:r>
          </w:p>
          <w:p>
            <w:pPr>
              <w:pStyle w:val="style33"/>
              <w:jc w:val="center"/>
              <w:spacing w:line="240" w:lineRule="exact"/>
            </w:pPr>
            <w:r>
              <w:rPr>
                <w:szCs w:val="28"/>
              </w:rPr>
              <w:t>постановлением администрации города</w:t>
            </w:r>
          </w:p>
          <w:p>
            <w:pPr>
              <w:pStyle w:val="style33"/>
              <w:jc w:val="center"/>
              <w:spacing w:line="240" w:lineRule="exact"/>
            </w:pPr>
            <w:r>
              <w:rPr>
                <w:szCs w:val="28"/>
              </w:rPr>
              <w:t xml:space="preserve">от 13.12.2013              № 2201 </w:t>
            </w:r>
          </w:p>
        </w:tc>
      </w:tr>
    </w:tbl>
    <w:p>
      <w:pPr>
        <w:pStyle w:val="style35"/>
      </w:pPr>
      <w:r>
        <w:rPr>
          <w:rFonts w:ascii="Times New Roman" w:cs="Times New Roman" w:hAnsi="Times New Roman"/>
        </w:rPr>
      </w:r>
    </w:p>
    <w:p>
      <w:pPr>
        <w:pStyle w:val="style35"/>
        <w:jc w:val="center"/>
      </w:pPr>
      <w:r>
        <w:rPr>
          <w:rFonts w:ascii="Times New Roman" w:cs="Times New Roman" w:hAnsi="Times New Roman"/>
        </w:rPr>
        <w:t>Муниципальная  программа города Рассказово</w:t>
      </w:r>
    </w:p>
    <w:p>
      <w:pPr>
        <w:pStyle w:val="style35"/>
        <w:jc w:val="center"/>
      </w:pPr>
      <w:r>
        <w:rPr>
          <w:rFonts w:ascii="Times New Roman" w:cs="Times New Roman" w:hAnsi="Times New Roman"/>
        </w:rPr>
        <w:t>«Экономическое развитие и инновационная экономика» на 2014-2020 годы</w:t>
      </w:r>
    </w:p>
    <w:p>
      <w:pPr>
        <w:pStyle w:val="style35"/>
        <w:jc w:val="center"/>
      </w:pPr>
      <w:r>
        <w:rPr>
          <w:szCs w:val="28"/>
          <w:bCs/>
          <w:rFonts w:ascii="Times New Roman" w:cs="Times New Roman" w:hAnsi="Times New Roman"/>
        </w:rPr>
        <w:t>(далее - программа)</w:t>
      </w:r>
    </w:p>
    <w:p>
      <w:pPr>
        <w:pStyle w:val="style35"/>
        <w:jc w:val="center"/>
      </w:pPr>
      <w:r>
        <w:rPr/>
      </w:r>
    </w:p>
    <w:p>
      <w:pPr>
        <w:pStyle w:val="style35"/>
        <w:jc w:val="center"/>
      </w:pPr>
      <w:r>
        <w:rPr/>
        <w:t xml:space="preserve">Паспорт </w:t>
      </w:r>
      <w:r>
        <w:rPr>
          <w:rFonts w:ascii="Times New Roman" w:cs="Times New Roman" w:hAnsi="Times New Roman"/>
        </w:rPr>
        <w:t>программы</w:t>
      </w:r>
    </w:p>
    <w:p>
      <w:pPr>
        <w:pStyle w:val="style36"/>
        <w:jc w:val="center"/>
      </w:pPr>
      <w:r>
        <w:rPr/>
      </w:r>
    </w:p>
    <w:tbl>
      <w:tblPr>
        <w:tblBorders>
          <w:top w:color="000001" w:space="0" w:sz="4" w:val="single"/>
          <w:left w:color="000001" w:space="0" w:sz="4" w:val="single"/>
          <w:bottom w:color="000001" w:space="0" w:sz="4" w:val="single"/>
        </w:tblBorders>
        <w:jc w:val="left"/>
        <w:tblInd w:type="dxa" w:w="-113"/>
      </w:tblPr>
      <w:tblGrid>
        <w:gridCol w:w="3764"/>
        <w:gridCol w:w="5816"/>
      </w:tblGrid>
      <w:tr>
        <w:trPr>
          <w:cantSplit w:val="off"/>
        </w:trPr>
        <w:tc>
          <w:tcPr>
            <w:tcBorders>
              <w:top w:color="000001" w:space="0" w:sz="4" w:val="single"/>
              <w:left w:color="000001" w:space="0" w:sz="4" w:val="single"/>
              <w:bottom w:color="000001" w:space="0" w:sz="4" w:val="single"/>
            </w:tcBorders>
            <w:shd w:fill="auto"/>
            <w:tcW w:type="dxa" w:w="3764"/>
            <w:tcMar>
              <w:top w:type="dxa" w:w="0"/>
              <w:left w:type="dxa" w:w="108"/>
              <w:bottom w:type="dxa" w:w="0"/>
              <w:right w:type="dxa" w:w="108"/>
            </w:tcMar>
          </w:tcPr>
          <w:p>
            <w:pPr>
              <w:pStyle w:val="style36"/>
            </w:pPr>
            <w:r>
              <w:rPr/>
              <w:t>Разработчик</w:t>
            </w:r>
            <w:r>
              <w:rPr>
                <w:rFonts w:eastAsia="Times New Roman"/>
              </w:rPr>
              <w:t xml:space="preserve"> </w:t>
            </w:r>
            <w:r>
              <w:rPr/>
              <w:t>программы</w:t>
            </w:r>
          </w:p>
        </w:tc>
        <w:tc>
          <w:tcPr>
            <w:tcBorders>
              <w:top w:color="000001" w:space="0" w:sz="4" w:val="single"/>
              <w:left w:color="000001" w:space="0" w:sz="4" w:val="single"/>
              <w:bottom w:color="000001" w:space="0" w:sz="4" w:val="single"/>
              <w:right w:color="000001" w:space="0" w:sz="4" w:val="single"/>
            </w:tcBorders>
            <w:shd w:fill="auto"/>
            <w:tcW w:type="dxa" w:w="5816"/>
            <w:tcMar>
              <w:top w:type="dxa" w:w="0"/>
              <w:left w:type="dxa" w:w="108"/>
              <w:bottom w:type="dxa" w:w="0"/>
              <w:right w:type="dxa" w:w="108"/>
            </w:tcMar>
          </w:tcPr>
          <w:p>
            <w:pPr>
              <w:pStyle w:val="style36"/>
            </w:pPr>
            <w:r>
              <w:rPr/>
              <w:t>Отдел по экономике, предпринимательству и социально-трудовым отношениям администрации города</w:t>
            </w:r>
          </w:p>
        </w:tc>
      </w:tr>
      <w:tr>
        <w:trPr>
          <w:cantSplit w:val="off"/>
        </w:trPr>
        <w:tc>
          <w:tcPr>
            <w:tcBorders>
              <w:top w:color="000001" w:space="0" w:sz="4" w:val="single"/>
              <w:left w:color="000001" w:space="0" w:sz="4" w:val="single"/>
              <w:bottom w:color="000001" w:space="0" w:sz="4" w:val="single"/>
            </w:tcBorders>
            <w:shd w:fill="auto"/>
            <w:tcW w:type="dxa" w:w="3764"/>
            <w:tcMar>
              <w:top w:type="dxa" w:w="0"/>
              <w:left w:type="dxa" w:w="108"/>
              <w:bottom w:type="dxa" w:w="0"/>
              <w:right w:type="dxa" w:w="108"/>
            </w:tcMar>
          </w:tcPr>
          <w:p>
            <w:pPr>
              <w:pStyle w:val="style36"/>
            </w:pPr>
            <w:r>
              <w:rPr/>
              <w:t>Соисполнители</w:t>
            </w:r>
            <w:r>
              <w:rPr>
                <w:rFonts w:eastAsia="Times New Roman"/>
              </w:rPr>
              <w:t xml:space="preserve"> </w:t>
            </w:r>
            <w:r>
              <w:rPr/>
              <w:t>программы</w:t>
            </w:r>
          </w:p>
        </w:tc>
        <w:tc>
          <w:tcPr>
            <w:tcBorders>
              <w:top w:color="000001" w:space="0" w:sz="4" w:val="single"/>
              <w:left w:color="000001" w:space="0" w:sz="4" w:val="single"/>
              <w:bottom w:color="000001" w:space="0" w:sz="4" w:val="single"/>
              <w:right w:color="000001" w:space="0" w:sz="4" w:val="single"/>
            </w:tcBorders>
            <w:shd w:fill="auto"/>
            <w:tcW w:type="dxa" w:w="5816"/>
            <w:tcMar>
              <w:top w:type="dxa" w:w="0"/>
              <w:left w:type="dxa" w:w="108"/>
              <w:bottom w:type="dxa" w:w="0"/>
              <w:right w:type="dxa" w:w="108"/>
            </w:tcMar>
          </w:tcPr>
          <w:p>
            <w:pPr>
              <w:pStyle w:val="style36"/>
            </w:pPr>
            <w:r>
              <w:rPr>
                <w:lang w:eastAsia="ru-RU"/>
              </w:rPr>
              <w:t>Отдел по управлению муниципальным имуществом администрации города;</w:t>
            </w:r>
          </w:p>
          <w:p>
            <w:pPr>
              <w:pStyle w:val="style36"/>
            </w:pPr>
            <w:r>
              <w:rPr>
                <w:lang w:eastAsia="ru-RU"/>
              </w:rPr>
              <w:t>Отдел развития потребительского рынка и защиты прав потребителей администрации города;</w:t>
            </w:r>
          </w:p>
          <w:p>
            <w:pPr>
              <w:pStyle w:val="style35"/>
            </w:pPr>
            <w:r>
              <w:rPr/>
              <w:t>Отдел организационно-правовой и кадровой работы администрации города;</w:t>
            </w:r>
          </w:p>
          <w:p>
            <w:pPr>
              <w:pStyle w:val="style36"/>
            </w:pPr>
            <w:r>
              <w:rPr/>
              <w:t>Муниципальное казенное учреждение «Рассказовский многофункциональный центр предоставления услуг населению»</w:t>
            </w:r>
          </w:p>
        </w:tc>
      </w:tr>
      <w:tr>
        <w:trPr>
          <w:cantSplit w:val="off"/>
        </w:trPr>
        <w:tc>
          <w:tcPr>
            <w:tcBorders>
              <w:top w:color="000001" w:space="0" w:sz="4" w:val="single"/>
              <w:left w:color="000001" w:space="0" w:sz="4" w:val="single"/>
              <w:bottom w:color="000001" w:space="0" w:sz="4" w:val="single"/>
            </w:tcBorders>
            <w:shd w:fill="auto"/>
            <w:tcW w:type="dxa" w:w="3764"/>
            <w:tcMar>
              <w:top w:type="dxa" w:w="0"/>
              <w:left w:type="dxa" w:w="108"/>
              <w:bottom w:type="dxa" w:w="0"/>
              <w:right w:type="dxa" w:w="108"/>
            </w:tcMar>
          </w:tcPr>
          <w:p>
            <w:pPr>
              <w:pStyle w:val="style36"/>
            </w:pPr>
            <w:r>
              <w:rPr/>
              <w:t>Подпрограммы</w:t>
            </w:r>
          </w:p>
        </w:tc>
        <w:tc>
          <w:tcPr>
            <w:tcBorders>
              <w:top w:color="000001" w:space="0" w:sz="4" w:val="single"/>
              <w:left w:color="000001" w:space="0" w:sz="4" w:val="single"/>
              <w:bottom w:color="000001" w:space="0" w:sz="4" w:val="single"/>
              <w:right w:color="000001" w:space="0" w:sz="4" w:val="single"/>
            </w:tcBorders>
            <w:shd w:fill="auto"/>
            <w:tcW w:type="dxa" w:w="5816"/>
            <w:tcMar>
              <w:top w:type="dxa" w:w="0"/>
              <w:left w:type="dxa" w:w="108"/>
              <w:bottom w:type="dxa" w:w="0"/>
              <w:right w:type="dxa" w:w="108"/>
            </w:tcMar>
          </w:tcPr>
          <w:p>
            <w:pPr>
              <w:pStyle w:val="style36"/>
            </w:pPr>
            <w:r>
              <w:rPr/>
              <w:t>«</w:t>
            </w:r>
            <w:r>
              <w:rPr>
                <w:bCs/>
              </w:rPr>
              <w:t>Формирование экономического потенциала</w:t>
            </w:r>
            <w:r>
              <w:rPr>
                <w:rFonts w:eastAsia="Times New Roman"/>
              </w:rPr>
              <w:t>»</w:t>
            </w:r>
          </w:p>
          <w:p>
            <w:pPr>
              <w:pStyle w:val="style36"/>
            </w:pPr>
            <w:r>
              <w:rPr>
                <w:rFonts w:eastAsia="Times New Roman"/>
              </w:rPr>
              <w:t>«Развитие малого и среднего предпринимательства»;</w:t>
            </w:r>
          </w:p>
          <w:p>
            <w:pPr>
              <w:pStyle w:val="style36"/>
            </w:pPr>
            <w:r>
              <w:rPr>
                <w:bCs/>
              </w:rPr>
              <w:t>«Совершенствование муниципального управления»</w:t>
            </w:r>
          </w:p>
        </w:tc>
      </w:tr>
      <w:tr>
        <w:trPr>
          <w:cantSplit w:val="off"/>
        </w:trPr>
        <w:tc>
          <w:tcPr>
            <w:tcBorders>
              <w:top w:color="000001" w:space="0" w:sz="4" w:val="single"/>
              <w:left w:color="000001" w:space="0" w:sz="4" w:val="single"/>
              <w:bottom w:color="000001" w:space="0" w:sz="4" w:val="single"/>
            </w:tcBorders>
            <w:shd w:fill="auto"/>
            <w:tcW w:type="dxa" w:w="3764"/>
            <w:tcMar>
              <w:top w:type="dxa" w:w="0"/>
              <w:left w:type="dxa" w:w="108"/>
              <w:bottom w:type="dxa" w:w="0"/>
              <w:right w:type="dxa" w:w="108"/>
            </w:tcMar>
          </w:tcPr>
          <w:p>
            <w:pPr>
              <w:pStyle w:val="style36"/>
            </w:pPr>
            <w:r>
              <w:rPr/>
              <w:t>Цели</w:t>
            </w:r>
            <w:r>
              <w:rPr>
                <w:rFonts w:eastAsia="Times New Roman"/>
              </w:rPr>
              <w:t xml:space="preserve"> </w:t>
            </w:r>
            <w:r>
              <w:rPr/>
              <w:t>программы</w:t>
            </w:r>
          </w:p>
        </w:tc>
        <w:tc>
          <w:tcPr>
            <w:tcBorders>
              <w:top w:color="000001" w:space="0" w:sz="4" w:val="single"/>
              <w:left w:color="000001" w:space="0" w:sz="4" w:val="single"/>
              <w:bottom w:color="000001" w:space="0" w:sz="4" w:val="single"/>
              <w:right w:color="000001" w:space="0" w:sz="4" w:val="single"/>
            </w:tcBorders>
            <w:shd w:fill="auto"/>
            <w:tcW w:type="dxa" w:w="5816"/>
            <w:tcMar>
              <w:top w:type="dxa" w:w="0"/>
              <w:left w:type="dxa" w:w="108"/>
              <w:bottom w:type="dxa" w:w="0"/>
              <w:right w:type="dxa" w:w="108"/>
            </w:tcMar>
          </w:tcPr>
          <w:p>
            <w:pPr>
              <w:pStyle w:val="style35"/>
              <w:jc w:val="left"/>
            </w:pPr>
            <w:r>
              <w:rPr>
                <w:rFonts w:ascii="Times New Roman" w:cs="Times New Roman" w:hAnsi="Times New Roman"/>
              </w:rPr>
              <w:t xml:space="preserve">Цель 1: </w:t>
            </w:r>
          </w:p>
          <w:p>
            <w:pPr>
              <w:pStyle w:val="style35"/>
              <w:jc w:val="left"/>
            </w:pPr>
            <w:r>
              <w:rPr>
                <w:rFonts w:ascii="Times New Roman" w:cs="Times New Roman" w:hAnsi="Times New Roman"/>
              </w:rPr>
              <w:t xml:space="preserve">Повышение конкурентоспособности экономики и инвестиционной привлекательности города. </w:t>
            </w:r>
          </w:p>
          <w:p>
            <w:pPr>
              <w:pStyle w:val="style35"/>
              <w:jc w:val="left"/>
            </w:pPr>
            <w:r>
              <w:rPr>
                <w:rFonts w:ascii="Times New Roman" w:cs="Times New Roman" w:hAnsi="Times New Roman"/>
              </w:rPr>
              <w:t xml:space="preserve">Цель 2. </w:t>
            </w:r>
          </w:p>
          <w:p>
            <w:pPr>
              <w:pStyle w:val="style35"/>
              <w:jc w:val="left"/>
            </w:pPr>
            <w:r>
              <w:rPr>
                <w:rFonts w:ascii="Times New Roman" w:cs="Times New Roman" w:hAnsi="Times New Roman"/>
              </w:rPr>
              <w:t xml:space="preserve">Создание благоприятного инвестиционного климата и условий для ведения бизнеса.               </w:t>
            </w:r>
          </w:p>
          <w:p>
            <w:pPr>
              <w:pStyle w:val="style35"/>
              <w:jc w:val="left"/>
            </w:pPr>
            <w:r>
              <w:rPr>
                <w:rFonts w:ascii="Times New Roman" w:cs="Times New Roman" w:hAnsi="Times New Roman"/>
              </w:rPr>
              <w:t xml:space="preserve">Цель 3: </w:t>
            </w:r>
          </w:p>
          <w:p>
            <w:pPr>
              <w:pStyle w:val="style35"/>
              <w:jc w:val="left"/>
            </w:pPr>
            <w:r>
              <w:rPr>
                <w:rFonts w:ascii="Times New Roman" w:cs="Times New Roman" w:hAnsi="Times New Roman"/>
              </w:rPr>
              <w:t xml:space="preserve">Повышение эффективности муниципального </w:t>
            </w:r>
          </w:p>
          <w:p>
            <w:pPr>
              <w:pStyle w:val="style35"/>
              <w:jc w:val="left"/>
            </w:pPr>
            <w:r>
              <w:rPr>
                <w:rFonts w:ascii="Times New Roman" w:cs="Times New Roman" w:hAnsi="Times New Roman"/>
              </w:rPr>
              <w:t xml:space="preserve">управления.                                          </w:t>
            </w:r>
          </w:p>
        </w:tc>
      </w:tr>
      <w:tr>
        <w:trPr>
          <w:cantSplit w:val="off"/>
        </w:trPr>
        <w:tc>
          <w:tcPr>
            <w:tcBorders>
              <w:top w:color="000001" w:space="0" w:sz="4" w:val="single"/>
              <w:left w:color="000001" w:space="0" w:sz="4" w:val="single"/>
              <w:bottom w:color="000001" w:space="0" w:sz="4" w:val="single"/>
              <w:right w:color="000001" w:space="0" w:sz="4" w:val="single"/>
            </w:tcBorders>
            <w:shd w:fill="auto"/>
            <w:tcW w:type="dxa" w:w="3764"/>
            <w:tcMar>
              <w:top w:type="dxa" w:w="0"/>
              <w:left w:type="dxa" w:w="108"/>
              <w:bottom w:type="dxa" w:w="0"/>
              <w:right w:type="dxa" w:w="108"/>
            </w:tcMar>
          </w:tcPr>
          <w:p>
            <w:pPr>
              <w:pStyle w:val="style36"/>
            </w:pPr>
            <w:r>
              <w:rPr/>
              <w:t>Задачи</w:t>
            </w:r>
            <w:r>
              <w:rPr>
                <w:rFonts w:eastAsia="Times New Roman"/>
              </w:rPr>
              <w:t xml:space="preserve"> </w:t>
            </w:r>
            <w:r>
              <w:rPr/>
              <w:t>программы</w:t>
            </w:r>
          </w:p>
        </w:tc>
        <w:tc>
          <w:tcPr>
            <w:tcBorders>
              <w:top w:color="000001" w:space="0" w:sz="4" w:val="single"/>
              <w:left w:color="000001" w:space="0" w:sz="4" w:val="single"/>
              <w:bottom w:color="000001" w:space="0" w:sz="4" w:val="single"/>
              <w:right w:color="000001" w:space="0" w:sz="4" w:val="single"/>
            </w:tcBorders>
            <w:shd w:fill="auto"/>
            <w:tcW w:type="dxa" w:w="5816"/>
            <w:tcMar>
              <w:top w:type="dxa" w:w="0"/>
              <w:left w:type="dxa" w:w="108"/>
              <w:bottom w:type="dxa" w:w="0"/>
              <w:right w:type="dxa" w:w="108"/>
            </w:tcMar>
          </w:tcPr>
          <w:p>
            <w:pPr>
              <w:pStyle w:val="style35"/>
              <w:jc w:val="left"/>
            </w:pPr>
            <w:r>
              <w:rPr>
                <w:rFonts w:ascii="Times New Roman" w:cs="Times New Roman" w:hAnsi="Times New Roman"/>
              </w:rPr>
              <w:t>1.Обеспечение сбалансированного экономического развития и  конкурентоспособности экономики города.</w:t>
            </w:r>
          </w:p>
          <w:p>
            <w:pPr>
              <w:pStyle w:val="style38"/>
            </w:pPr>
            <w:r>
              <w:rPr>
                <w:sz w:val="28"/>
                <w:szCs w:val="28"/>
              </w:rPr>
              <w:t>2.</w:t>
            </w:r>
            <w:r>
              <w:rPr>
                <w:sz w:val="28"/>
              </w:rPr>
              <w:t xml:space="preserve">Повышение инвестиционной привлекательности города и создание условий для привлечения инвестиций в экономику города.                                 </w:t>
            </w:r>
          </w:p>
          <w:p>
            <w:pPr>
              <w:pStyle w:val="style38"/>
            </w:pPr>
            <w:r>
              <w:rPr>
                <w:sz w:val="28"/>
              </w:rPr>
              <w:t>3.Обеспечение благоприятных условий для развития субъектов малого и среднего предпринимательства в целях формирования конкурентной среды в экономике.</w:t>
            </w:r>
          </w:p>
          <w:p>
            <w:pPr>
              <w:pStyle w:val="style38"/>
              <w:jc w:val="both"/>
            </w:pPr>
            <w:r>
              <w:rPr>
                <w:sz w:val="28"/>
                <w:szCs w:val="28"/>
              </w:rPr>
              <w:t>4.Создание населению города комфортных условий для приобретения качественных и безопасных товаров, ориентированных на разные социальные группы потребителей, в первую очередь отечественного производства, в пределах территориальной доступности.</w:t>
            </w:r>
            <w:r>
              <w:rPr/>
              <w:t xml:space="preserve">                                             </w:t>
            </w:r>
          </w:p>
          <w:p>
            <w:pPr>
              <w:pStyle w:val="style35"/>
            </w:pPr>
            <w:r>
              <w:rPr>
                <w:rFonts w:ascii="Times New Roman" w:cs="Times New Roman" w:hAnsi="Times New Roman"/>
              </w:rPr>
              <w:t xml:space="preserve">5.Повышение доступности и качества государственных и муниципальных услуг.  </w:t>
            </w:r>
          </w:p>
        </w:tc>
      </w:tr>
      <w:tr>
        <w:trPr>
          <w:cantSplit w:val="off"/>
        </w:trPr>
        <w:tc>
          <w:tcPr>
            <w:tcBorders>
              <w:top w:color="000001" w:space="0" w:sz="4" w:val="single"/>
              <w:left w:color="000001" w:space="0" w:sz="4" w:val="single"/>
              <w:bottom w:color="000001" w:space="0" w:sz="4" w:val="single"/>
            </w:tcBorders>
            <w:shd w:fill="auto"/>
            <w:tcW w:type="dxa" w:w="3764"/>
            <w:tcMar>
              <w:top w:type="dxa" w:w="0"/>
              <w:left w:type="dxa" w:w="108"/>
              <w:bottom w:type="dxa" w:w="0"/>
              <w:right w:type="dxa" w:w="108"/>
            </w:tcMar>
          </w:tcPr>
          <w:p>
            <w:pPr>
              <w:pStyle w:val="style36"/>
            </w:pPr>
            <w:r>
              <w:rPr/>
              <w:t>Целевые индикаторы</w:t>
            </w:r>
          </w:p>
        </w:tc>
        <w:tc>
          <w:tcPr>
            <w:tcBorders>
              <w:top w:color="000001" w:space="0" w:sz="4" w:val="single"/>
              <w:left w:color="000001" w:space="0" w:sz="4" w:val="single"/>
              <w:bottom w:color="000001" w:space="0" w:sz="4" w:val="single"/>
              <w:right w:color="000001" w:space="0" w:sz="4" w:val="single"/>
            </w:tcBorders>
            <w:shd w:fill="auto"/>
            <w:tcW w:type="dxa" w:w="5816"/>
            <w:tcMar>
              <w:top w:type="dxa" w:w="0"/>
              <w:left w:type="dxa" w:w="108"/>
              <w:bottom w:type="dxa" w:w="0"/>
              <w:right w:type="dxa" w:w="108"/>
            </w:tcMar>
          </w:tcPr>
          <w:p>
            <w:pPr>
              <w:pStyle w:val="style35"/>
            </w:pPr>
            <w:r>
              <w:rPr/>
              <w:t>1</w:t>
            </w:r>
            <w:r>
              <w:rPr>
                <w:rFonts w:ascii="Times New Roman" w:cs="Times New Roman" w:hAnsi="Times New Roman"/>
              </w:rPr>
              <w:t xml:space="preserve">. Темп роста отгруженной промышленной продукции - 115%. </w:t>
            </w:r>
          </w:p>
          <w:p>
            <w:pPr>
              <w:pStyle w:val="style38"/>
              <w:jc w:val="both"/>
            </w:pPr>
            <w:r>
              <w:rPr>
                <w:sz w:val="28"/>
                <w:szCs w:val="28"/>
              </w:rPr>
              <w:t>2. Индекс физического объема розничного товарооборота  во всех каналах реализации - 111,5 %.</w:t>
            </w:r>
          </w:p>
          <w:p>
            <w:pPr>
              <w:pStyle w:val="style38"/>
              <w:jc w:val="both"/>
            </w:pPr>
            <w:r>
              <w:rPr>
                <w:sz w:val="28"/>
                <w:szCs w:val="28"/>
              </w:rPr>
              <w:t>3. Индекс физического объема розничного товарооборота  рынка - 103,8 %.</w:t>
            </w:r>
          </w:p>
          <w:p>
            <w:pPr>
              <w:pStyle w:val="style35"/>
              <w:jc w:val="left"/>
            </w:pPr>
            <w:r>
              <w:rPr>
                <w:rFonts w:ascii="Times New Roman" w:cs="Times New Roman" w:hAnsi="Times New Roman"/>
              </w:rPr>
              <w:t xml:space="preserve">4. </w:t>
            </w:r>
            <w:r>
              <w:rPr>
                <w:szCs w:val="28"/>
                <w:rFonts w:ascii="Times New Roman" w:cs="Times New Roman" w:hAnsi="Times New Roman"/>
              </w:rPr>
              <w:t>Индекс физического объема инвестиций в основной капитал - 118 %.</w:t>
            </w:r>
          </w:p>
          <w:p>
            <w:pPr>
              <w:pStyle w:val="style35"/>
              <w:jc w:val="left"/>
            </w:pPr>
            <w:r>
              <w:rPr>
                <w:szCs w:val="28"/>
                <w:rFonts w:ascii="Times New Roman" w:cs="Times New Roman" w:hAnsi="Times New Roman"/>
              </w:rPr>
              <w:t xml:space="preserve">5. Инвестиции в основной капитал (за исключением бюджетных средств) в расчете на одного человека - 9730 руб.                                        </w:t>
            </w:r>
          </w:p>
          <w:p>
            <w:pPr>
              <w:pStyle w:val="style35"/>
              <w:jc w:val="left"/>
            </w:pPr>
            <w:r>
              <w:rPr/>
              <w:t>6.</w:t>
            </w:r>
            <w:r>
              <w:rPr>
                <w:rFonts w:ascii="Times New Roman" w:cs="Times New Roman" w:hAnsi="Times New Roman"/>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города - 41,3 %.</w:t>
            </w:r>
          </w:p>
          <w:p>
            <w:pPr>
              <w:pStyle w:val="style38"/>
            </w:pPr>
            <w:r>
              <w:rPr>
                <w:sz w:val="28"/>
                <w:szCs w:val="28"/>
              </w:rPr>
              <w:t>7. Создание дополнительных рабочих мест в малых и средних предприятиях - 140 единиц.</w:t>
            </w:r>
          </w:p>
          <w:p>
            <w:pPr>
              <w:pStyle w:val="style35"/>
              <w:jc w:val="left"/>
            </w:pPr>
            <w:r>
              <w:rPr/>
              <w:t>8.Количество субъектов малого и среднего предпринимательства, осуществляющих деятельность – 1765 ед.;</w:t>
            </w:r>
          </w:p>
          <w:p>
            <w:pPr>
              <w:pStyle w:val="style36"/>
              <w:jc w:val="left"/>
            </w:pPr>
            <w:r>
              <w:rPr/>
              <w:t>9.Оборот продукции (услуг), производимой малыми предприятиями и индивидуальными предпринимателями – 4020 млн.руб.,  в том числе малыми предприятиями - 2740 млн.руб.;</w:t>
            </w:r>
          </w:p>
          <w:p>
            <w:pPr>
              <w:pStyle w:val="style36"/>
              <w:jc w:val="left"/>
            </w:pPr>
            <w:r>
              <w:rPr/>
              <w:t>10.Количество конференций, встреч, конкурсов по вопросам развития малого и среднего предпринимательства – 21 ед.</w:t>
            </w:r>
          </w:p>
          <w:p>
            <w:pPr>
              <w:pStyle w:val="style38"/>
            </w:pPr>
            <w:r>
              <w:rPr>
                <w:sz w:val="28"/>
                <w:szCs w:val="28"/>
              </w:rPr>
              <w:t>11.Доля населения города, имеющего доступ к услугам МФЦ - 100 %;</w:t>
            </w:r>
          </w:p>
          <w:p>
            <w:pPr>
              <w:pStyle w:val="style38"/>
              <w:jc w:val="both"/>
            </w:pPr>
            <w:r>
              <w:rPr>
                <w:sz w:val="28"/>
                <w:szCs w:val="28"/>
              </w:rPr>
              <w:t>12.Уровень удовлетворенности населения города качеством предоставления государственных и муниципальных услуг - 90%;</w:t>
            </w:r>
          </w:p>
          <w:p>
            <w:pPr>
              <w:pStyle w:val="style38"/>
              <w:jc w:val="both"/>
            </w:pPr>
            <w:r>
              <w:rPr>
                <w:sz w:val="28"/>
                <w:szCs w:val="28"/>
              </w:rPr>
              <w:t>13.Среднее время ожидания в очереди при обращении заявителей государственных и муниципальных услуг - 15 мин.</w:t>
            </w:r>
          </w:p>
        </w:tc>
      </w:tr>
      <w:tr>
        <w:trPr>
          <w:cantSplit w:val="off"/>
        </w:trPr>
        <w:tc>
          <w:tcPr>
            <w:tcBorders>
              <w:top w:color="000001" w:space="0" w:sz="4" w:val="single"/>
              <w:left w:color="000001" w:space="0" w:sz="4" w:val="single"/>
              <w:bottom w:color="000001" w:space="0" w:sz="4" w:val="single"/>
            </w:tcBorders>
            <w:shd w:fill="auto"/>
            <w:tcW w:type="dxa" w:w="3764"/>
            <w:tcMar>
              <w:top w:type="dxa" w:w="0"/>
              <w:left w:type="dxa" w:w="108"/>
              <w:bottom w:type="dxa" w:w="0"/>
              <w:right w:type="dxa" w:w="108"/>
            </w:tcMar>
          </w:tcPr>
          <w:p>
            <w:pPr>
              <w:pStyle w:val="style36"/>
            </w:pPr>
            <w:r>
              <w:rPr/>
              <w:t>Сроки</w:t>
            </w:r>
            <w:r>
              <w:rPr>
                <w:rFonts w:eastAsia="Times New Roman"/>
              </w:rPr>
              <w:t xml:space="preserve"> и этапы </w:t>
            </w:r>
            <w:r>
              <w:rPr/>
              <w:t>реализации</w:t>
            </w:r>
            <w:r>
              <w:rPr>
                <w:rFonts w:eastAsia="Times New Roman"/>
              </w:rPr>
              <w:t xml:space="preserve"> </w:t>
            </w:r>
            <w:r>
              <w:rPr/>
              <w:t>программы</w:t>
            </w:r>
          </w:p>
        </w:tc>
        <w:tc>
          <w:tcPr>
            <w:tcBorders>
              <w:top w:color="000001" w:space="0" w:sz="4" w:val="single"/>
              <w:left w:color="000001" w:space="0" w:sz="4" w:val="single"/>
              <w:bottom w:color="000001" w:space="0" w:sz="4" w:val="single"/>
              <w:right w:color="000001" w:space="0" w:sz="4" w:val="single"/>
            </w:tcBorders>
            <w:shd w:fill="auto"/>
            <w:tcW w:type="dxa" w:w="5816"/>
            <w:tcMar>
              <w:top w:type="dxa" w:w="0"/>
              <w:left w:type="dxa" w:w="108"/>
              <w:bottom w:type="dxa" w:w="0"/>
              <w:right w:type="dxa" w:w="108"/>
            </w:tcMar>
          </w:tcPr>
          <w:p>
            <w:pPr>
              <w:pStyle w:val="style36"/>
            </w:pPr>
            <w:r>
              <w:rPr/>
              <w:t>2014</w:t>
            </w:r>
            <w:r>
              <w:rPr>
                <w:rFonts w:eastAsia="Times New Roman"/>
              </w:rPr>
              <w:t xml:space="preserve"> </w:t>
            </w:r>
            <w:r>
              <w:rPr/>
              <w:t>-</w:t>
            </w:r>
            <w:r>
              <w:rPr>
                <w:rFonts w:eastAsia="Times New Roman"/>
              </w:rPr>
              <w:t xml:space="preserve"> </w:t>
            </w:r>
            <w:r>
              <w:rPr/>
              <w:t>2020</w:t>
            </w:r>
            <w:r>
              <w:rPr>
                <w:rFonts w:eastAsia="Times New Roman"/>
              </w:rPr>
              <w:t xml:space="preserve"> </w:t>
            </w:r>
            <w:r>
              <w:rPr/>
              <w:t>годы, реализуется в один этап</w:t>
            </w:r>
          </w:p>
        </w:tc>
      </w:tr>
      <w:tr>
        <w:trPr>
          <w:cantSplit w:val="off"/>
        </w:trPr>
        <w:tc>
          <w:tcPr>
            <w:tcBorders>
              <w:top w:color="000001" w:space="0" w:sz="4" w:val="single"/>
              <w:left w:color="000001" w:space="0" w:sz="4" w:val="single"/>
              <w:bottom w:color="000001" w:space="0" w:sz="4" w:val="single"/>
            </w:tcBorders>
            <w:shd w:fill="auto"/>
            <w:tcW w:type="dxa" w:w="3764"/>
            <w:tcMar>
              <w:top w:type="dxa" w:w="0"/>
              <w:left w:type="dxa" w:w="108"/>
              <w:bottom w:type="dxa" w:w="0"/>
              <w:right w:type="dxa" w:w="108"/>
            </w:tcMar>
          </w:tcPr>
          <w:p>
            <w:pPr>
              <w:pStyle w:val="style36"/>
            </w:pPr>
            <w:r>
              <w:rPr/>
              <w:t>Объёмы</w:t>
            </w:r>
            <w:r>
              <w:rPr>
                <w:rFonts w:eastAsia="Times New Roman"/>
              </w:rPr>
              <w:t xml:space="preserve"> </w:t>
            </w:r>
            <w:r>
              <w:rPr/>
              <w:t>и</w:t>
            </w:r>
            <w:r>
              <w:rPr>
                <w:rFonts w:eastAsia="Times New Roman"/>
              </w:rPr>
              <w:t xml:space="preserve"> </w:t>
            </w:r>
            <w:r>
              <w:rPr/>
              <w:t>источники</w:t>
            </w:r>
            <w:r>
              <w:rPr>
                <w:rFonts w:eastAsia="Times New Roman"/>
              </w:rPr>
              <w:t xml:space="preserve"> </w:t>
            </w:r>
            <w:r>
              <w:rPr/>
              <w:t>финансирования</w:t>
            </w:r>
            <w:r>
              <w:rPr>
                <w:rFonts w:eastAsia="Times New Roman"/>
              </w:rPr>
              <w:t xml:space="preserve"> </w:t>
            </w:r>
            <w:r>
              <w:rPr/>
              <w:t>программы</w:t>
            </w:r>
          </w:p>
        </w:tc>
        <w:tc>
          <w:tcPr>
            <w:tcBorders>
              <w:top w:color="000001" w:space="0" w:sz="4" w:val="single"/>
              <w:left w:color="000001" w:space="0" w:sz="4" w:val="single"/>
              <w:bottom w:color="000001" w:space="0" w:sz="4" w:val="single"/>
              <w:right w:color="000001" w:space="0" w:sz="4" w:val="single"/>
            </w:tcBorders>
            <w:shd w:fill="auto"/>
            <w:tcW w:type="dxa" w:w="5816"/>
            <w:tcMar>
              <w:top w:type="dxa" w:w="0"/>
              <w:left w:type="dxa" w:w="108"/>
              <w:bottom w:type="dxa" w:w="0"/>
              <w:right w:type="dxa" w:w="108"/>
            </w:tcMar>
          </w:tcPr>
          <w:p>
            <w:pPr>
              <w:pStyle w:val="style36"/>
            </w:pPr>
            <w:r>
              <w:rPr/>
              <w:t>Объёмы финансирования программы за счёт всех источников финансирования на весь период реализации –  33760 тыс. рублей:</w:t>
            </w:r>
          </w:p>
          <w:p>
            <w:pPr>
              <w:pStyle w:val="style36"/>
            </w:pPr>
            <w:r>
              <w:rPr/>
              <w:t>2014 год – 17610 тыс.рублей;</w:t>
            </w:r>
          </w:p>
          <w:p>
            <w:pPr>
              <w:pStyle w:val="style36"/>
            </w:pPr>
            <w:r>
              <w:rPr/>
              <w:t>2015 год – 10310 тыс.рублей;</w:t>
            </w:r>
          </w:p>
          <w:p>
            <w:pPr>
              <w:pStyle w:val="style36"/>
            </w:pPr>
            <w:r>
              <w:rPr/>
              <w:t>2016 год – 960 тыс.рублей;</w:t>
            </w:r>
          </w:p>
          <w:p>
            <w:pPr>
              <w:pStyle w:val="style36"/>
            </w:pPr>
            <w:r>
              <w:rPr/>
              <w:t>2017 год – 1130 тыс.рублей;</w:t>
            </w:r>
          </w:p>
          <w:p>
            <w:pPr>
              <w:pStyle w:val="style36"/>
            </w:pPr>
            <w:r>
              <w:rPr/>
              <w:t>2018 год – 1130 тыс.рублей;</w:t>
            </w:r>
          </w:p>
          <w:p>
            <w:pPr>
              <w:pStyle w:val="style36"/>
            </w:pPr>
            <w:r>
              <w:rPr/>
              <w:t>2019 год – 1310 тыс.рублей;</w:t>
            </w:r>
          </w:p>
          <w:p>
            <w:pPr>
              <w:pStyle w:val="style36"/>
            </w:pPr>
            <w:r>
              <w:rPr/>
              <w:t>2020 год – 1310 тыс.рублей;</w:t>
            </w:r>
          </w:p>
          <w:p>
            <w:pPr>
              <w:pStyle w:val="style36"/>
            </w:pPr>
            <w:r>
              <w:rPr/>
              <w:t xml:space="preserve">                   </w:t>
            </w:r>
            <w:r>
              <w:rPr/>
              <w:t>в том числе:</w:t>
            </w:r>
          </w:p>
          <w:p>
            <w:pPr>
              <w:pStyle w:val="style36"/>
            </w:pPr>
            <w:r>
              <w:rPr>
                <w:sz w:val="24"/>
              </w:rPr>
              <w:t>средства областного бюджета - 21590 тыс.рублей:</w:t>
            </w:r>
          </w:p>
          <w:p>
            <w:pPr>
              <w:pStyle w:val="style36"/>
              <w:ind w:hanging="0" w:left="1060" w:right="0"/>
            </w:pPr>
            <w:r>
              <w:rPr>
                <w:sz w:val="24"/>
              </w:rPr>
              <w:t>2014 год – 7300  тыс.рублей;</w:t>
            </w:r>
          </w:p>
          <w:p>
            <w:pPr>
              <w:pStyle w:val="style36"/>
              <w:ind w:hanging="0" w:left="1060" w:right="0"/>
            </w:pPr>
            <w:r>
              <w:rPr>
                <w:sz w:val="24"/>
              </w:rPr>
              <w:t>2015 год – 10000 тыс.рублей;</w:t>
            </w:r>
          </w:p>
          <w:p>
            <w:pPr>
              <w:pStyle w:val="style36"/>
              <w:ind w:hanging="0" w:left="1060" w:right="0"/>
            </w:pPr>
            <w:r>
              <w:rPr>
                <w:sz w:val="24"/>
              </w:rPr>
              <w:t xml:space="preserve">2016 год – 650 тыс.рублей; </w:t>
            </w:r>
          </w:p>
          <w:p>
            <w:pPr>
              <w:pStyle w:val="style36"/>
              <w:ind w:hanging="0" w:left="1060" w:right="0"/>
            </w:pPr>
            <w:r>
              <w:rPr>
                <w:sz w:val="24"/>
              </w:rPr>
              <w:t>2017 год – 820 тыс.рублей;</w:t>
            </w:r>
          </w:p>
          <w:p>
            <w:pPr>
              <w:pStyle w:val="style36"/>
              <w:ind w:hanging="0" w:left="1060" w:right="0"/>
            </w:pPr>
            <w:r>
              <w:rPr>
                <w:sz w:val="24"/>
              </w:rPr>
              <w:t>2018 год – 820 тыс.рублей;</w:t>
            </w:r>
          </w:p>
          <w:p>
            <w:pPr>
              <w:pStyle w:val="style36"/>
              <w:ind w:hanging="0" w:left="1060" w:right="0"/>
            </w:pPr>
            <w:r>
              <w:rPr>
                <w:sz w:val="24"/>
              </w:rPr>
              <w:t>2019 год – 1000 тыс.рублей;</w:t>
            </w:r>
          </w:p>
          <w:p>
            <w:pPr>
              <w:pStyle w:val="style36"/>
              <w:ind w:hanging="0" w:left="1060" w:right="0"/>
            </w:pPr>
            <w:r>
              <w:rPr>
                <w:sz w:val="24"/>
              </w:rPr>
              <w:t>2020 год – 1000 тыс.рублей;</w:t>
            </w:r>
          </w:p>
          <w:p>
            <w:pPr>
              <w:pStyle w:val="style36"/>
            </w:pPr>
            <w:r>
              <w:rPr>
                <w:sz w:val="24"/>
              </w:rPr>
              <w:t>средства местного бюджета – 10070тыс.рублей:</w:t>
            </w:r>
          </w:p>
          <w:p>
            <w:pPr>
              <w:pStyle w:val="style36"/>
              <w:ind w:hanging="0" w:left="1060" w:right="0"/>
            </w:pPr>
            <w:r>
              <w:rPr>
                <w:sz w:val="24"/>
              </w:rPr>
              <w:t>2014 год – 10010  тыс.рублей;</w:t>
            </w:r>
          </w:p>
          <w:p>
            <w:pPr>
              <w:pStyle w:val="style36"/>
              <w:ind w:hanging="0" w:left="1060" w:right="0"/>
            </w:pPr>
            <w:r>
              <w:rPr>
                <w:sz w:val="24"/>
              </w:rPr>
              <w:t>2015 год – 10 тыс.рублей;</w:t>
            </w:r>
          </w:p>
          <w:p>
            <w:pPr>
              <w:pStyle w:val="style36"/>
              <w:ind w:hanging="0" w:left="1060" w:right="0"/>
            </w:pPr>
            <w:r>
              <w:rPr>
                <w:sz w:val="24"/>
              </w:rPr>
              <w:t xml:space="preserve">2016 год – 10 тыс.рублей; </w:t>
            </w:r>
          </w:p>
          <w:p>
            <w:pPr>
              <w:pStyle w:val="style36"/>
              <w:ind w:hanging="0" w:left="1060" w:right="0"/>
            </w:pPr>
            <w:r>
              <w:rPr>
                <w:sz w:val="24"/>
              </w:rPr>
              <w:t>2017 год – 10 тыс.рублей;</w:t>
            </w:r>
          </w:p>
          <w:p>
            <w:pPr>
              <w:pStyle w:val="style36"/>
              <w:ind w:hanging="0" w:left="1060" w:right="0"/>
            </w:pPr>
            <w:r>
              <w:rPr>
                <w:sz w:val="24"/>
              </w:rPr>
              <w:t>2018 год – 10 тыс.рублей;</w:t>
            </w:r>
          </w:p>
          <w:p>
            <w:pPr>
              <w:pStyle w:val="style36"/>
              <w:ind w:hanging="0" w:left="1060" w:right="0"/>
            </w:pPr>
            <w:r>
              <w:rPr>
                <w:sz w:val="24"/>
              </w:rPr>
              <w:t>2019 год – 10 тыс.рублей;</w:t>
            </w:r>
          </w:p>
          <w:p>
            <w:pPr>
              <w:pStyle w:val="style36"/>
              <w:ind w:hanging="0" w:left="1060" w:right="0"/>
            </w:pPr>
            <w:r>
              <w:rPr>
                <w:sz w:val="24"/>
              </w:rPr>
              <w:t>2020 год – 10 тыс.рублей;</w:t>
            </w:r>
          </w:p>
          <w:p>
            <w:pPr>
              <w:pStyle w:val="style36"/>
            </w:pPr>
            <w:r>
              <w:rPr>
                <w:sz w:val="24"/>
              </w:rPr>
              <w:t>внебюджетные источники  –  2100 тыс.рублей:</w:t>
            </w:r>
          </w:p>
          <w:p>
            <w:pPr>
              <w:pStyle w:val="style36"/>
              <w:ind w:hanging="0" w:left="1060" w:right="0"/>
            </w:pPr>
            <w:r>
              <w:rPr>
                <w:sz w:val="24"/>
              </w:rPr>
              <w:t>2014 год –   300 тыс.рублей;</w:t>
            </w:r>
          </w:p>
          <w:p>
            <w:pPr>
              <w:pStyle w:val="style36"/>
              <w:ind w:hanging="0" w:left="1060" w:right="0"/>
            </w:pPr>
            <w:r>
              <w:rPr>
                <w:sz w:val="24"/>
              </w:rPr>
              <w:t>2015 год –   300 тыс.рублей;</w:t>
            </w:r>
          </w:p>
          <w:p>
            <w:pPr>
              <w:pStyle w:val="style36"/>
              <w:ind w:hanging="0" w:left="1060" w:right="0"/>
            </w:pPr>
            <w:r>
              <w:rPr>
                <w:sz w:val="24"/>
              </w:rPr>
              <w:t xml:space="preserve">2016 год –   300 тыс.рублей; </w:t>
            </w:r>
          </w:p>
          <w:p>
            <w:pPr>
              <w:pStyle w:val="style36"/>
              <w:ind w:hanging="0" w:left="1060" w:right="0"/>
            </w:pPr>
            <w:r>
              <w:rPr>
                <w:sz w:val="24"/>
              </w:rPr>
              <w:t>2017 год –   300 тыс.рублей;</w:t>
            </w:r>
          </w:p>
          <w:p>
            <w:pPr>
              <w:pStyle w:val="style36"/>
              <w:ind w:hanging="0" w:left="1060" w:right="0"/>
            </w:pPr>
            <w:r>
              <w:rPr>
                <w:sz w:val="24"/>
              </w:rPr>
              <w:t>2018 год –   300 тыс.рублей;</w:t>
            </w:r>
          </w:p>
          <w:p>
            <w:pPr>
              <w:pStyle w:val="style36"/>
              <w:ind w:hanging="0" w:left="1060" w:right="0"/>
            </w:pPr>
            <w:r>
              <w:rPr>
                <w:sz w:val="24"/>
              </w:rPr>
              <w:t xml:space="preserve">2019 год –   300 тыс.рублей;          </w:t>
            </w:r>
          </w:p>
          <w:p>
            <w:pPr>
              <w:pStyle w:val="style36"/>
              <w:numPr>
                <w:ilvl w:val="0"/>
                <w:numId w:val="2"/>
              </w:numPr>
            </w:pPr>
            <w:r>
              <w:rPr>
                <w:sz w:val="24"/>
              </w:rPr>
              <w:t xml:space="preserve"> –   </w:t>
            </w:r>
            <w:r>
              <w:rPr>
                <w:sz w:val="24"/>
              </w:rPr>
              <w:t>300 тыс.рублей.</w:t>
            </w:r>
          </w:p>
        </w:tc>
      </w:tr>
    </w:tbl>
    <w:p>
      <w:pPr>
        <w:pStyle w:val="style36"/>
      </w:pPr>
      <w:r>
        <w:rPr/>
      </w:r>
    </w:p>
    <w:p>
      <w:pPr>
        <w:pStyle w:val="style40"/>
        <w:jc w:val="center"/>
        <w:ind w:hanging="0" w:left="0" w:right="0"/>
      </w:pPr>
      <w:r>
        <w:rPr>
          <w:u w:val="single"/>
          <w:rFonts w:ascii="Times New Roman" w:hAnsi="Times New Roman"/>
        </w:rPr>
        <w:t>1.Общая  характеристика сферы реализации</w:t>
      </w:r>
      <w:r>
        <w:rPr>
          <w:u w:val="single"/>
          <w:b/>
          <w:rFonts w:ascii="Times New Roman" w:hAnsi="Times New Roman"/>
        </w:rPr>
        <w:t xml:space="preserve"> </w:t>
      </w:r>
      <w:r>
        <w:rPr>
          <w:u w:val="single"/>
          <w:rFonts w:ascii="Times New Roman" w:hAnsi="Times New Roman"/>
        </w:rPr>
        <w:t>м</w:t>
      </w:r>
      <w:r>
        <w:rPr>
          <w:u w:val="single"/>
          <w:rFonts w:ascii="Times New Roman" w:hAnsi="Times New Roman"/>
        </w:rPr>
        <w:t>униципальной  программы</w:t>
      </w:r>
    </w:p>
    <w:p>
      <w:pPr>
        <w:pStyle w:val="style40"/>
      </w:pPr>
      <w:r>
        <w:rPr>
          <w:rFonts w:ascii="Times New Roman" w:hAnsi="Times New Roman"/>
        </w:rPr>
      </w:r>
    </w:p>
    <w:p>
      <w:pPr>
        <w:pStyle w:val="style40"/>
      </w:pPr>
      <w:r>
        <w:rPr>
          <w:rFonts w:ascii="Times New Roman" w:hAnsi="Times New Roman"/>
        </w:rPr>
        <w:t>Приоритетными направлениями деятельности администрации города Рассказово последние три года являлись мероприятия по повышению экономического потенциала города, изысканию резервов роста доходной части бюджета, повышению уровня заработной платы, эффективному развитию рынка труда города, улучшению благоустройства города и условий проживания для горожан.</w:t>
      </w:r>
    </w:p>
    <w:p>
      <w:pPr>
        <w:pStyle w:val="style40"/>
      </w:pPr>
      <w:r>
        <w:rPr>
          <w:rFonts w:ascii="Times New Roman" w:hAnsi="Times New Roman"/>
        </w:rPr>
        <w:t xml:space="preserve">В рейтинге оценки эффективности деятельности органов местного самоуправления Тамбовской области город Рассказово занял 3 место среди муниципалитетов по итогам 2010 года, 2 место по итогам 2011 года. </w:t>
      </w:r>
    </w:p>
    <w:p>
      <w:pPr>
        <w:pStyle w:val="style40"/>
      </w:pPr>
      <w:r>
        <w:rPr>
          <w:rFonts w:ascii="Times New Roman" w:hAnsi="Times New Roman"/>
        </w:rPr>
        <w:t xml:space="preserve">Устойчивая динамика социально-экономического развития города последних лет позволила сохранить достаточно высокие результаты в реальном секторе экономики и социальной сфере и в 2012 году. </w:t>
      </w:r>
    </w:p>
    <w:p>
      <w:pPr>
        <w:pStyle w:val="style40"/>
      </w:pPr>
      <w:r>
        <w:rPr>
          <w:rFonts w:ascii="Times New Roman" w:hAnsi="Times New Roman"/>
        </w:rPr>
        <w:t>Приоритетными направлениями деятельности администрации в 2012 году были мероприятия по повышению уровня заработной платы, увеличению объемов инвестиций в основной капитал и объемов жилищного строительства и улучшению благоустройства города.</w:t>
      </w:r>
    </w:p>
    <w:p>
      <w:pPr>
        <w:pStyle w:val="style40"/>
      </w:pPr>
      <w:r>
        <w:rPr>
          <w:rFonts w:ascii="Times New Roman" w:hAnsi="Times New Roman"/>
        </w:rPr>
        <w:t>Выполнялись мероприятия по развитию реального сектора экономики, исполнению планового задания доходной части бюджета, изысканию источников денежных средств, созданию надлежащих условий жизнеобеспечения и жизнедеятельности для населения.</w:t>
      </w:r>
    </w:p>
    <w:p>
      <w:pPr>
        <w:pStyle w:val="style40"/>
      </w:pPr>
      <w:r>
        <w:rPr>
          <w:rFonts w:ascii="Times New Roman" w:hAnsi="Times New Roman"/>
        </w:rPr>
        <w:t xml:space="preserve">За 2012 год доходы бюджета в целом составили 476,5 млн. руб., что составило  85,2 % к уровню прошлого года. </w:t>
      </w:r>
    </w:p>
    <w:p>
      <w:pPr>
        <w:pStyle w:val="style40"/>
      </w:pPr>
      <w:r>
        <w:rPr>
          <w:rFonts w:ascii="Times New Roman" w:hAnsi="Times New Roman"/>
        </w:rPr>
        <w:t xml:space="preserve">Собственных доходов в бюджет города поступило в сумме 184,9 млн. руб., или 78,5 % к соответствующему периоду прошлого года. </w:t>
      </w:r>
    </w:p>
    <w:p>
      <w:pPr>
        <w:pStyle w:val="style40"/>
      </w:pPr>
      <w:r>
        <w:rPr>
          <w:rFonts w:ascii="Times New Roman" w:hAnsi="Times New Roman"/>
        </w:rPr>
        <w:t xml:space="preserve">Снижение собственных доходов было запланированным по причине изменения нормы отчисления налога на доходы физических лиц с 60 до 30%, смены администратора доходов государственной пошлины и платных услуг . В результате бюджет города сократился на 75 млн.руб. (НДФЛ - 39 млн.руб., госпошлина - 12 млн.руб., платные услуги  - 24 млн.руб.). </w:t>
      </w:r>
    </w:p>
    <w:p>
      <w:pPr>
        <w:pStyle w:val="style40"/>
      </w:pPr>
      <w:r>
        <w:rPr>
          <w:rFonts w:ascii="Times New Roman" w:hAnsi="Times New Roman"/>
        </w:rPr>
        <w:t xml:space="preserve"> </w:t>
      </w:r>
      <w:r>
        <w:rPr>
          <w:rFonts w:ascii="Times New Roman" w:hAnsi="Times New Roman"/>
        </w:rPr>
        <w:t xml:space="preserve">Запланированный объем собственных доходов выполнен в 2012 году на 103,9 %. </w:t>
      </w:r>
    </w:p>
    <w:p>
      <w:pPr>
        <w:pStyle w:val="style40"/>
      </w:pPr>
      <w:r>
        <w:rPr>
          <w:rFonts w:ascii="Times New Roman" w:hAnsi="Times New Roman"/>
        </w:rPr>
        <w:t>Основная часть полученных доходов бюджета города, как и в прошлом году, сформирована за счет налога на доходы физических лиц, но его доля снизилась по выше названной причине с 40 до 28 %. Доля поступлений от налога на имущество напротив выросла с 8,1 % до 25,2 %, поступлений от использования муниципального имущества с 13,2 % до 20,4 %.</w:t>
      </w:r>
    </w:p>
    <w:p>
      <w:pPr>
        <w:pStyle w:val="style40"/>
      </w:pPr>
      <w:r>
        <w:rPr>
          <w:rFonts w:ascii="Times New Roman" w:hAnsi="Times New Roman"/>
        </w:rPr>
        <w:t>Одной из важнейших отраслей в реальном секторе экономики города, как и в прежние десятилетия, остается промышленность города, которая формирует экономический потенциал города. При этом следует отметить все возрастающий вклад в экономику города малого  предпринимательства.</w:t>
      </w:r>
    </w:p>
    <w:p>
      <w:pPr>
        <w:pStyle w:val="style40"/>
      </w:pPr>
      <w:r>
        <w:rPr>
          <w:rFonts w:ascii="Times New Roman" w:hAnsi="Times New Roman"/>
        </w:rPr>
        <w:t>В производственном комплексе города Рассказово функционируют семь крупных и средних промышленных предприятий. По предварительным оперативным данным 2012 год предприятия завершили с положительным финансовым результатом.</w:t>
      </w:r>
    </w:p>
    <w:p>
      <w:pPr>
        <w:pStyle w:val="style40"/>
      </w:pPr>
      <w:r>
        <w:rPr>
          <w:rFonts w:ascii="Times New Roman" w:hAnsi="Times New Roman"/>
        </w:rPr>
        <w:t>Однако темп роста отгруженной продукции за отчетный период составил 76,6%, отгружено продукции на сумму 1227,6 млн.руб., что на 360 млн.руб. меньше уровня 2011 года.</w:t>
      </w:r>
    </w:p>
    <w:p>
      <w:pPr>
        <w:pStyle w:val="style40"/>
      </w:pPr>
      <w:r>
        <w:rPr>
          <w:rFonts w:ascii="Times New Roman" w:hAnsi="Times New Roman"/>
        </w:rPr>
        <w:t xml:space="preserve">Набольшего прироста объема отгруженной продукции достигли завод «Рематтра» - 123 %, народное предприятие «Хлеб» - 108 %, завод «Биохим» - 104%. </w:t>
      </w:r>
    </w:p>
    <w:p>
      <w:pPr>
        <w:pStyle w:val="style40"/>
      </w:pPr>
      <w:r>
        <w:rPr>
          <w:rFonts w:ascii="Times New Roman" w:hAnsi="Times New Roman"/>
        </w:rPr>
        <w:t>При этом для каждого из предприятий 2012 год был не самым лучшим, как со стороны микро, так и макроэкономики. Предприятия проводили мероприятия по повышению заработной платы работников при неблагоприятной ценовой политике.</w:t>
      </w:r>
    </w:p>
    <w:p>
      <w:pPr>
        <w:pStyle w:val="style40"/>
      </w:pPr>
      <w:r>
        <w:rPr>
          <w:rFonts w:ascii="Times New Roman" w:hAnsi="Times New Roman"/>
        </w:rPr>
        <w:t>Например, с ноября 2012 года цены на зерно повысились на 50-70%, а конкурентная среда не дает возможности предприятию «Хлеб» повысить цену на продукцию более 10-12%. При этом руководство завода все-таки нашло возможность увеличить средний размер заработной платы для 150 своих работников на 13%.</w:t>
      </w:r>
    </w:p>
    <w:p>
      <w:pPr>
        <w:pStyle w:val="style40"/>
      </w:pPr>
      <w:r>
        <w:rPr>
          <w:rFonts w:ascii="Times New Roman" w:hAnsi="Times New Roman"/>
        </w:rPr>
        <w:t>Акционерное общество «Биохим» в 2012 году проводил усиленную модернизацию производства. Реконструкция и полная компьютеризация брагоректификационного отделения позволило увеличить объем производства на 18% и значительно улучшить качество продукции. Обновлен и модернизирован автопарк предприятия. Проведены предпроектные мероприятия и ведется подготовка к строительству  нового спиртохранилища, которое будет осуществлено в 2013 году, что позволит увеличить мощность завода еще порядка 20-30%.</w:t>
      </w:r>
    </w:p>
    <w:p>
      <w:pPr>
        <w:pStyle w:val="style40"/>
      </w:pPr>
      <w:r>
        <w:rPr>
          <w:rFonts w:ascii="Times New Roman" w:hAnsi="Times New Roman"/>
        </w:rPr>
        <w:t xml:space="preserve"> </w:t>
      </w:r>
      <w:r>
        <w:rPr>
          <w:rFonts w:ascii="Times New Roman" w:hAnsi="Times New Roman"/>
        </w:rPr>
        <w:tab/>
        <w:t xml:space="preserve">На техническое перевооружение предприятие направило в отчетном году 25 млн.руб., это в два раза больше, чем в предыдущем. Заработную плату удалось поднять на 50 %, в среднем по предприятию она составила 16400 рублей при численности 230 человек. </w:t>
      </w:r>
    </w:p>
    <w:p>
      <w:pPr>
        <w:pStyle w:val="style40"/>
      </w:pPr>
      <w:r>
        <w:rPr>
          <w:rFonts w:ascii="Times New Roman" w:hAnsi="Times New Roman"/>
        </w:rPr>
        <w:t xml:space="preserve">Завод «Рематтра» ограничен Госзаказами на ремонт техники. Его мощность могла быть использована гораздо выше. В отчетном году предприятие провело оптимизацию численности, доведя ее до 188 человек, и повысило заработную плату на 15 % до 16200 рублей. </w:t>
      </w:r>
    </w:p>
    <w:p>
      <w:pPr>
        <w:pStyle w:val="style40"/>
      </w:pPr>
      <w:r>
        <w:rPr>
          <w:rFonts w:ascii="Times New Roman" w:hAnsi="Times New Roman"/>
        </w:rPr>
        <w:t xml:space="preserve"> </w:t>
      </w:r>
      <w:r>
        <w:rPr>
          <w:rFonts w:ascii="Times New Roman" w:hAnsi="Times New Roman"/>
        </w:rPr>
        <w:tab/>
        <w:t xml:space="preserve">Производственная фирма «Раском» имеет численность работников 230 человек. В последние годы предприятие, как и все предприятия легкой промышленности испытывает временные трудности. </w:t>
      </w:r>
    </w:p>
    <w:p>
      <w:pPr>
        <w:pStyle w:val="style40"/>
      </w:pPr>
      <w:r>
        <w:rPr>
          <w:rFonts w:ascii="Times New Roman" w:hAnsi="Times New Roman"/>
        </w:rPr>
        <w:t>В 2012 году Фирмой «Раском» объем отгрузки продукции снижен на 18%. Основной причиной снижения стала отмена проведения тендера Министерства обороны.  Значительная часть рынка сбыта предприятия формировался за счет госзаказов по пошиву обуви для Министерства Обороны, МВД, МЧС и ФСБ. В конце года сложились трудности и на внутреннем рынке: в связи с вступлением России в ВТО многие контрагенты предприятия также испытывали финансовые трудности, и предприятие вынуждено было предоставлять отсрочку платежей. Еще одна из причин – высокая конкурентность обувного рынка и незащищенность отечественного рынка от поставок дешевой обуви  «теневого» бизнеса.</w:t>
      </w:r>
    </w:p>
    <w:p>
      <w:pPr>
        <w:pStyle w:val="style40"/>
      </w:pPr>
      <w:r>
        <w:rPr>
          <w:rFonts w:ascii="Times New Roman" w:hAnsi="Times New Roman"/>
        </w:rPr>
        <w:t>Но, несмотря на сложный год, фирма смогла удержаться на кожевенном рынке и создать возможность инвестирования в новую продукцию. В отчетном году производен запуск новой линии «Левокаст» по производству новых видов кож. Инвестиции в модернизацию производства составили 9,1 млн.руб.</w:t>
      </w:r>
    </w:p>
    <w:p>
      <w:pPr>
        <w:pStyle w:val="style40"/>
      </w:pPr>
      <w:r>
        <w:rPr>
          <w:rFonts w:ascii="Times New Roman" w:hAnsi="Times New Roman"/>
        </w:rPr>
        <w:t>В 2013 году усилия руководства предприятия по-прежнему направлены на достижение финансово-экономической стабилизации предприятия и наращивания объема производства. На сегодняшний день предприятие занимается поиском иных вариантов развития.</w:t>
      </w:r>
    </w:p>
    <w:p>
      <w:pPr>
        <w:pStyle w:val="style40"/>
      </w:pPr>
      <w:r>
        <w:rPr>
          <w:rFonts w:ascii="Times New Roman" w:hAnsi="Times New Roman"/>
        </w:rPr>
        <w:t xml:space="preserve">Каждое из предприятий имеет свои причины сложившихся проблем, условия для развития предприятий и в 2013 нельзя назвать благоприятными. </w:t>
      </w:r>
    </w:p>
    <w:p>
      <w:pPr>
        <w:pStyle w:val="style40"/>
      </w:pPr>
      <w:r>
        <w:rPr>
          <w:rFonts w:ascii="Times New Roman" w:hAnsi="Times New Roman"/>
        </w:rPr>
        <w:t>Рост цен на сырье, на коммунальные и прочие услуги не дают возможности повышать объемы производства, осваивать новые виды продукции, технически перевооружать производство, а также увеличивать заработную плату работникам предприятия до среднеобластного уровня.</w:t>
      </w:r>
    </w:p>
    <w:p>
      <w:pPr>
        <w:pStyle w:val="style40"/>
      </w:pPr>
      <w:r>
        <w:rPr>
          <w:rFonts w:ascii="Times New Roman" w:hAnsi="Times New Roman"/>
        </w:rPr>
        <w:t xml:space="preserve">И все же на развитие производства инвестиции за 9 месяец 2013года направлены в объеме 34млн.руб., хотя это гораздо меньше, чем в прошлом году. </w:t>
      </w:r>
    </w:p>
    <w:p>
      <w:pPr>
        <w:pStyle w:val="style40"/>
      </w:pPr>
      <w:r>
        <w:rPr>
          <w:rFonts w:ascii="Times New Roman" w:hAnsi="Times New Roman"/>
        </w:rPr>
        <w:t>Более того, все предприятия в 2013 году приняли меры по повышению уровня заработной платы работников. За январь-сентябрь 2013 года средний темп роста заработной платы составил 134 %. Он варьируется от 116% на ЗАО «Хлеб» и ОАО «Биохим» до 184% на ООО «Фарадей», а сумма от 12000 до 21000 рублей.</w:t>
      </w:r>
    </w:p>
    <w:p>
      <w:pPr>
        <w:pStyle w:val="style40"/>
      </w:pPr>
      <w:r>
        <w:rPr>
          <w:rFonts w:ascii="Times New Roman" w:hAnsi="Times New Roman"/>
        </w:rPr>
        <w:t>Развитие малого и среднего предпринимательства является одним из важнейших факторов в формировании конкурентной среды в экономике города. Поэтому основной упор в вопросе создания новых производств конкурентоспособной продукции и услуг сегодня делался на представителей среднего и малого предпринимательства.</w:t>
      </w:r>
    </w:p>
    <w:p>
      <w:pPr>
        <w:pStyle w:val="style40"/>
      </w:pPr>
      <w:r>
        <w:rPr>
          <w:rFonts w:ascii="Times New Roman" w:hAnsi="Times New Roman"/>
        </w:rPr>
        <w:t>Стратегической  целью социально-экономического развития города в сфере малого предпринимательства является создание правовых и экономических условий для его свободного развития.</w:t>
      </w:r>
    </w:p>
    <w:p>
      <w:pPr>
        <w:pStyle w:val="style40"/>
      </w:pPr>
      <w:r>
        <w:rPr>
          <w:rFonts w:ascii="Times New Roman" w:hAnsi="Times New Roman"/>
        </w:rPr>
        <w:t>По состоянию на 1 января 2013 г. в городе функционировали 1724 субъекта малого и среднего предпринимательства.</w:t>
      </w:r>
    </w:p>
    <w:p>
      <w:pPr>
        <w:pStyle w:val="style40"/>
      </w:pPr>
      <w:r>
        <w:rPr>
          <w:color w:val="000000"/>
          <w:rFonts w:ascii="Times New Roman" w:hAnsi="Times New Roman"/>
        </w:rPr>
        <w:t>Оборот продукции и услуг, производимый малыми предприятиями, включая микро-предприятия и индивидуальных предпринимателей за 2012 год составил 1950 млн.руб. с темпом роста в уровню 2011 года 125 %. Оборот малых предприятий 1732 млн.руб. с темпом роста 110 %.</w:t>
      </w:r>
    </w:p>
    <w:p>
      <w:pPr>
        <w:pStyle w:val="style40"/>
      </w:pPr>
      <w:r>
        <w:rPr>
          <w:rFonts w:ascii="Times New Roman" w:hAnsi="Times New Roman"/>
        </w:rPr>
        <w:t xml:space="preserve">Вклад от предпринимательства в экономику города ежегодно увеличивается. Во все уровни бюджета в 2012 году перечислено 125 млн. руб. </w:t>
      </w:r>
      <w:r>
        <w:rPr>
          <w:color w:val="000000"/>
          <w:rFonts w:ascii="Times New Roman" w:hAnsi="Times New Roman"/>
        </w:rPr>
        <w:t xml:space="preserve">Доля </w:t>
      </w:r>
      <w:r>
        <w:rPr>
          <w:rFonts w:ascii="Times New Roman" w:hAnsi="Times New Roman"/>
        </w:rPr>
        <w:t>налогов от представителей малого бизнеса в общей сумме налоговых доходов местного бюджета достигает 45 %.</w:t>
      </w:r>
    </w:p>
    <w:p>
      <w:pPr>
        <w:pStyle w:val="style40"/>
      </w:pPr>
      <w:r>
        <w:rPr>
          <w:rFonts w:ascii="Times New Roman" w:hAnsi="Times New Roman"/>
        </w:rPr>
        <w:t>Сумма инвестиций малого и среднего предпринимательства ежегодно составляет порядка 100 млн.руб.</w:t>
      </w:r>
    </w:p>
    <w:p>
      <w:pPr>
        <w:pStyle w:val="style40"/>
      </w:pPr>
      <w:r>
        <w:rPr>
          <w:rFonts w:ascii="Times New Roman" w:hAnsi="Times New Roman"/>
        </w:rPr>
        <w:t xml:space="preserve">Подтверждением </w:t>
      </w:r>
      <w:r>
        <w:rPr>
          <w:color w:val="000000"/>
          <w:kern w:val="3"/>
          <w:rFonts w:ascii="Times New Roman" w:hAnsi="Times New Roman"/>
        </w:rPr>
        <w:t>развития общественной инфраструктуры</w:t>
      </w:r>
      <w:r>
        <w:rPr>
          <w:rFonts w:ascii="Times New Roman" w:hAnsi="Times New Roman"/>
        </w:rPr>
        <w:t xml:space="preserve"> и улучшения общей экономической обстановки является такой показатель как инвестиционная активность. </w:t>
      </w:r>
    </w:p>
    <w:p>
      <w:pPr>
        <w:pStyle w:val="style40"/>
      </w:pPr>
      <w:r>
        <w:rPr>
          <w:rFonts w:ascii="Times New Roman" w:hAnsi="Times New Roman"/>
        </w:rPr>
        <w:t>Приоритетными направлениями деятельности администрации являлись мероприятия по увеличению объемов инвестиций в основной капитал и объемов жилищного строительства, улучшению благоустройства города, условий проживания для горожан и инвестиционной привлекательности города в целом.</w:t>
      </w:r>
    </w:p>
    <w:p>
      <w:pPr>
        <w:pStyle w:val="style40"/>
      </w:pPr>
      <w:r>
        <w:rPr>
          <w:rFonts w:ascii="Times New Roman" w:hAnsi="Times New Roman"/>
        </w:rPr>
        <w:t xml:space="preserve">Общая сумма инвестиций в основной капитал по полному кругу предприятий и организаций за 2012 год составила 848,4 млн. руб. при запланированной сумме 744 млн.руб. </w:t>
      </w:r>
    </w:p>
    <w:p>
      <w:pPr>
        <w:pStyle w:val="style40"/>
      </w:pPr>
      <w:r>
        <w:rPr>
          <w:rFonts w:ascii="Times New Roman" w:hAnsi="Times New Roman"/>
        </w:rPr>
        <w:t xml:space="preserve">Общая сумма инвестиций за 9 месяцев 2013 года составила по оценке составила 568 млн. руб., что в сопоставимых ценах больше  уровня прошлого года на 25 %. От годового объема инвестиций, запланированного на 2013 год в сумме  948млн.руб., выполнение составило 60% . </w:t>
      </w:r>
    </w:p>
    <w:p>
      <w:pPr>
        <w:pStyle w:val="style40"/>
      </w:pPr>
      <w:r>
        <w:rPr>
          <w:rFonts w:ascii="Times New Roman" w:hAnsi="Times New Roman"/>
        </w:rPr>
        <w:t>Общее количество введенного жилья составило 16123 кв.м. против 10417 кв.м за 9 месяцев прошлого года. Введено индивидуального жилья 12248 кв.м., а также сдан 38 кв. жилой дом по ул.Пушкина,68 площадью 3875 кв.м. Плановый на 2013 год показатель по вводу жилья - 19000 кв.м. Ориентировочная сумма введенного жилья составляет порядка 300 млн. руб.</w:t>
      </w:r>
    </w:p>
    <w:p>
      <w:pPr>
        <w:pStyle w:val="style40"/>
      </w:pPr>
      <w:r>
        <w:rPr>
          <w:rFonts w:ascii="Times New Roman" w:hAnsi="Times New Roman"/>
        </w:rPr>
        <w:t>В отчетном году на территории города реализовывались следующие проекты:</w:t>
      </w:r>
    </w:p>
    <w:p>
      <w:pPr>
        <w:pStyle w:val="style40"/>
      </w:pPr>
      <w:r>
        <w:rPr>
          <w:rFonts w:ascii="Times New Roman" w:hAnsi="Times New Roman"/>
        </w:rPr>
        <w:t xml:space="preserve">- реконструкция муниципального здания под детский сад на 250 мест в рамках областной адресной инвестиционной программы с суммой инвестиций 85 млн. руб.; </w:t>
      </w:r>
    </w:p>
    <w:p>
      <w:pPr>
        <w:pStyle w:val="style40"/>
      </w:pPr>
      <w:r>
        <w:rPr>
          <w:rFonts w:ascii="Times New Roman" w:hAnsi="Times New Roman"/>
        </w:rPr>
        <w:t>- строительство дороги по улице Саратовская – микрорайон Гвардейский с объемом инвестиций 51 млн.руб.;</w:t>
      </w:r>
    </w:p>
    <w:p>
      <w:pPr>
        <w:pStyle w:val="style40"/>
      </w:pPr>
      <w:r>
        <w:rPr>
          <w:rFonts w:ascii="Times New Roman" w:hAnsi="Times New Roman"/>
        </w:rPr>
        <w:t>- завершен ввод жилых домов по программе «Переселение граждан из аварийного жилищного фонда» на 36 млн.руб.;</w:t>
      </w:r>
    </w:p>
    <w:p>
      <w:pPr>
        <w:pStyle w:val="style40"/>
      </w:pPr>
      <w:r>
        <w:rPr>
          <w:rFonts w:ascii="Times New Roman" w:hAnsi="Times New Roman"/>
        </w:rPr>
        <w:t>- строительство современного торгового комплекса площадью 1200кв.м МУП «Рассказовский рынок» с освоением капитальных вложений более 60 млн.руб.</w:t>
      </w:r>
    </w:p>
    <w:p>
      <w:pPr>
        <w:pStyle w:val="style40"/>
      </w:pPr>
      <w:r>
        <w:rPr>
          <w:rFonts w:ascii="Times New Roman" w:hAnsi="Times New Roman"/>
        </w:rPr>
        <w:t>За счет частных инвестиций в 2013 году:</w:t>
      </w:r>
    </w:p>
    <w:p>
      <w:pPr>
        <w:pStyle w:val="style40"/>
      </w:pPr>
      <w:r>
        <w:rPr>
          <w:rFonts w:ascii="Times New Roman" w:hAnsi="Times New Roman"/>
        </w:rPr>
        <w:t>- закончены работы по реконструкции котельной по улице Саратовская, строительству и газификации котельных по улице Маяковского и микрорайона «Дубняк» на сумму 101,4 млн. руб.,</w:t>
      </w:r>
    </w:p>
    <w:p>
      <w:pPr>
        <w:pStyle w:val="style40"/>
      </w:pPr>
      <w:r>
        <w:rPr>
          <w:rFonts w:ascii="Times New Roman" w:hAnsi="Times New Roman"/>
        </w:rPr>
        <w:t>- газифицировано 99 квартир и введено газовых сетей 0,9 км. и на сумму 6млн.руб.;</w:t>
      </w:r>
    </w:p>
    <w:p>
      <w:pPr>
        <w:pStyle w:val="style40"/>
      </w:pPr>
      <w:r>
        <w:rPr>
          <w:rFonts w:ascii="Times New Roman" w:hAnsi="Times New Roman"/>
        </w:rPr>
        <w:t>- ведется строительство трех многоквартирных жилых домов: 2-я очередь жилого дома по ул.Пушкина,68 на 35 квартир, 5 этажный 45-квартирный жилой дом по ул.60 лет Рассказово и 7 этажный 25 квартирный по ул.Пушкина,10.</w:t>
      </w:r>
    </w:p>
    <w:p>
      <w:pPr>
        <w:pStyle w:val="style40"/>
      </w:pPr>
      <w:r>
        <w:rPr>
          <w:rFonts w:ascii="Times New Roman" w:hAnsi="Times New Roman"/>
        </w:rPr>
        <w:t>- введен  мини-пивоваренный завод мощностью 4 т в сутки;</w:t>
      </w:r>
    </w:p>
    <w:p>
      <w:pPr>
        <w:pStyle w:val="style40"/>
      </w:pPr>
      <w:r>
        <w:rPr>
          <w:rFonts w:ascii="Times New Roman" w:hAnsi="Times New Roman"/>
        </w:rPr>
        <w:t>- ведется строительство супермаркета «Бегемот» площадью 600 кв. м.;</w:t>
      </w:r>
    </w:p>
    <w:p>
      <w:pPr>
        <w:pStyle w:val="style40"/>
      </w:pPr>
      <w:r>
        <w:rPr>
          <w:rFonts w:ascii="Times New Roman" w:hAnsi="Times New Roman"/>
        </w:rPr>
        <w:t>- введено в эксплуатацию здание торгово-досугового центра по ул. Куйбышева, 8;</w:t>
      </w:r>
    </w:p>
    <w:p>
      <w:pPr>
        <w:pStyle w:val="style40"/>
      </w:pPr>
      <w:r>
        <w:rPr>
          <w:rFonts w:ascii="Times New Roman" w:hAnsi="Times New Roman"/>
        </w:rPr>
        <w:t>- продолжается строительство развлекательного центра с кафе;</w:t>
      </w:r>
    </w:p>
    <w:p>
      <w:pPr>
        <w:pStyle w:val="style40"/>
      </w:pPr>
      <w:r>
        <w:rPr>
          <w:rFonts w:ascii="Times New Roman" w:hAnsi="Times New Roman"/>
        </w:rPr>
        <w:t>- осуществляется расширение и строительство новых швейных цехов.</w:t>
      </w:r>
    </w:p>
    <w:p>
      <w:pPr>
        <w:pStyle w:val="style40"/>
      </w:pPr>
      <w:r>
        <w:rPr>
          <w:rFonts w:ascii="Times New Roman" w:hAnsi="Times New Roman"/>
        </w:rPr>
        <w:t>Кроме того, в сфере ЖКХ в отчетном периоде выполнен ряд мероприятий на сумму 45 млн. руб., из них:</w:t>
      </w:r>
    </w:p>
    <w:p>
      <w:pPr>
        <w:pStyle w:val="style40"/>
      </w:pPr>
      <w:r>
        <w:rPr>
          <w:rFonts w:ascii="Times New Roman" w:hAnsi="Times New Roman"/>
        </w:rPr>
        <w:t>- ремонт дорог - 16,6 млн.руб.,</w:t>
      </w:r>
    </w:p>
    <w:p>
      <w:pPr>
        <w:pStyle w:val="style40"/>
      </w:pPr>
      <w:r>
        <w:rPr>
          <w:rFonts w:ascii="Times New Roman" w:hAnsi="Times New Roman"/>
        </w:rPr>
        <w:t xml:space="preserve">- ремонт дворовых территорий - 9,2 млн. руб., </w:t>
      </w:r>
    </w:p>
    <w:p>
      <w:pPr>
        <w:pStyle w:val="style40"/>
      </w:pPr>
      <w:r>
        <w:rPr>
          <w:rFonts w:ascii="Times New Roman" w:hAnsi="Times New Roman"/>
        </w:rPr>
        <w:t>- благоустройство скверов в микрорайоне «Дубняк», по улицам Гагарина и 8-е Марта стоимостью 10,4 млн.руб.,</w:t>
      </w:r>
    </w:p>
    <w:p>
      <w:pPr>
        <w:pStyle w:val="style40"/>
      </w:pPr>
      <w:r>
        <w:rPr>
          <w:rFonts w:ascii="Times New Roman" w:hAnsi="Times New Roman"/>
        </w:rPr>
        <w:t>- работы по реконструкции уличного освещения на сумму 7,0 млн. руб.</w:t>
      </w:r>
    </w:p>
    <w:p>
      <w:pPr>
        <w:pStyle w:val="style40"/>
      </w:pPr>
      <w:r>
        <w:rPr>
          <w:rFonts w:ascii="Times New Roman" w:hAnsi="Times New Roman"/>
        </w:rPr>
        <w:t xml:space="preserve">Показатель объема инвестиций в основной капитал (за исключением бюджетных средств) в расчете на 1 жителя составил в 2012 году - 2641 рубль с темпом роста 182,8 %. </w:t>
      </w:r>
      <w:r>
        <w:rPr>
          <w:color w:val="000000"/>
          <w:rFonts w:ascii="Times New Roman" w:hAnsi="Times New Roman"/>
        </w:rPr>
        <w:t>На период до 2020 года планируется положительная динамика показателя с ростом почти в 3 раза (9730 рублей).</w:t>
      </w:r>
    </w:p>
    <w:p>
      <w:pPr>
        <w:pStyle w:val="style40"/>
      </w:pPr>
      <w:r>
        <w:rPr>
          <w:rFonts w:ascii="Times New Roman" w:hAnsi="Times New Roman"/>
        </w:rPr>
        <w:t>Показатель уровня заработной платы в текущем году, как и в прошлом, остается одним из первостепенных вопросов, которому администрация города уделяет пристальное внимание.</w:t>
      </w:r>
    </w:p>
    <w:p>
      <w:pPr>
        <w:pStyle w:val="style40"/>
      </w:pPr>
      <w:r>
        <w:rPr>
          <w:rFonts w:ascii="Times New Roman" w:hAnsi="Times New Roman"/>
        </w:rPr>
        <w:t>В 2013 году в полном объеме выполнены мероприятия, направленные на выполнение поручений Указов Президента РФ от 07.05.2012 по обеспечению стабильного роста реальной заработной платы. Был реализован комплекс мер по обеспечению роста заработной платы в реальном секторе экономики, включая постоянный мониторинг размера заработной платы и ее своевременной выплаты, а также по проведению мероприятий по легализации «теневой» заработной платы.</w:t>
      </w:r>
    </w:p>
    <w:p>
      <w:pPr>
        <w:pStyle w:val="style40"/>
      </w:pPr>
      <w:r>
        <w:rPr>
          <w:rFonts w:ascii="Times New Roman" w:hAnsi="Times New Roman"/>
        </w:rPr>
        <w:t>Выполнены все требования Президента и Правительства РФ по увеличению заработной платы педагогическим работникам.</w:t>
      </w:r>
    </w:p>
    <w:p>
      <w:pPr>
        <w:pStyle w:val="style40"/>
      </w:pPr>
      <w:r>
        <w:rPr>
          <w:rFonts w:ascii="Times New Roman" w:hAnsi="Times New Roman"/>
        </w:rPr>
        <w:t>Среднемесячная номинальная начисленная заработная плата работников по полному кругу отчитывающихся предприятий и организаций согласно мониторингу сложилась в отчетном периоде на уровне 1600 рублей с темпом роста 117 % к аналогичному периоду прошлого года.</w:t>
      </w:r>
    </w:p>
    <w:p>
      <w:pPr>
        <w:pStyle w:val="style40"/>
      </w:pPr>
      <w:r>
        <w:rPr>
          <w:rFonts w:ascii="Times New Roman" w:hAnsi="Times New Roman"/>
        </w:rPr>
        <w:t>Размер реальной заработной платы, рассчитанной с учетом роста потребительских цен, увеличился по сравнению с 9 месяцами прошлого года на 9%.</w:t>
      </w:r>
    </w:p>
    <w:p>
      <w:pPr>
        <w:pStyle w:val="style40"/>
      </w:pPr>
      <w:r>
        <w:rPr>
          <w:rFonts w:ascii="Times New Roman" w:hAnsi="Times New Roman"/>
        </w:rPr>
        <w:t>В рейтинге уровня заработной платы среди организаций города первое место занимает вид деятельности государственное управление с заработной платой 32 тыс.руб., затем - производство электроэнергии, газа и воды - 25500 рублей, финансовая деятельность 22700 рублей. Последнее место занимает транспорт и связь - 10000 рублей, гостиницы - 8800 рублей.</w:t>
      </w:r>
    </w:p>
    <w:p>
      <w:pPr>
        <w:pStyle w:val="style40"/>
      </w:pPr>
      <w:r>
        <w:rPr>
          <w:rFonts w:ascii="Times New Roman" w:hAnsi="Times New Roman"/>
        </w:rPr>
        <w:t>Средняя зарплата в здравоохранении составляет - 15400 рублей, в образовании - 15000 рублей, в промышленных производствах - 14800 рублей.</w:t>
      </w:r>
    </w:p>
    <w:p>
      <w:pPr>
        <w:pStyle w:val="style40"/>
      </w:pPr>
      <w:r>
        <w:rPr>
          <w:rFonts w:ascii="Times New Roman" w:hAnsi="Times New Roman"/>
        </w:rPr>
        <w:t xml:space="preserve">Ситуация и на рынке труда в 2013 году сохраняется стабильной. Уровень регистрируемой безработицы в отчетном периоде продолжал снижаться.  Его процент к экономически активному населению с 1 января 2013 года снизился с 0,85 до 0,78 %. Численность безработных граждан по сравнению с началом года уменьшилась на 15 человек и составила 171 человек. </w:t>
      </w:r>
    </w:p>
    <w:p>
      <w:pPr>
        <w:pStyle w:val="style40"/>
      </w:pPr>
      <w:r>
        <w:rPr>
          <w:rFonts w:ascii="Times New Roman" w:hAnsi="Times New Roman"/>
        </w:rPr>
        <w:t>В течение 2013 года от работодателей поступило около 1400 вакансий. За содействием в поиске подходящей работы обратилось 700 человек. Содействие в трудоустройстве получили 500 человек или 76 % от обратившихся.</w:t>
      </w:r>
    </w:p>
    <w:p>
      <w:pPr>
        <w:pStyle w:val="style40"/>
      </w:pPr>
      <w:r>
        <w:rPr>
          <w:rFonts w:ascii="Times New Roman" w:hAnsi="Times New Roman"/>
        </w:rPr>
        <w:t>Демографическая ситуация в городе продолжает иметь тенденцию естественной убыли населения.</w:t>
      </w:r>
    </w:p>
    <w:p>
      <w:pPr>
        <w:pStyle w:val="style40"/>
      </w:pPr>
      <w:r>
        <w:rPr>
          <w:rFonts w:ascii="Times New Roman" w:hAnsi="Times New Roman"/>
        </w:rPr>
        <w:t>За январь-сентябрь 2013г. родилось 339 новорожденных, что на 34 ребенка меньше, чем в аналогичном периоде прошлого года. Умерло 452 человека, это на 3 человека меньше уровня прошлого года. В целом население города уменьшилось за 9 месяцев на 87 человек. Численность постоянного населения на 1 октября текущего года составила 44911 человек.</w:t>
      </w:r>
    </w:p>
    <w:p>
      <w:pPr>
        <w:pStyle w:val="style40"/>
      </w:pPr>
      <w:r>
        <w:rPr>
          <w:rFonts w:ascii="Times New Roman" w:hAnsi="Times New Roman"/>
        </w:rPr>
        <w:t>Приоритетными направлениями развития муниципальной системы образования за январь-сентябрь  2013 года являлись: обеспечение доступности качественного образования, развитие кадрового потенциала, а также создание условий для активного включения детей в социально-экономическую, политическую и культурную жизнь общества.</w:t>
      </w:r>
    </w:p>
    <w:p>
      <w:pPr>
        <w:pStyle w:val="style40"/>
      </w:pPr>
      <w:r>
        <w:rPr>
          <w:rFonts w:ascii="Times New Roman" w:hAnsi="Times New Roman"/>
        </w:rPr>
        <w:t xml:space="preserve">В этих целях в 2013 году была продолжена работа по модернизации системы общего образования, а именно по повышению качества образования, дальнейшему развитию системы дошкольного образования детей, по проведению конкурсов профессионального мастерства, внедрению механизмов стимулирования качественной деятельности педагогов, созданию условий для обеспечения доступности дополнительного образования детей. </w:t>
      </w:r>
    </w:p>
    <w:p>
      <w:pPr>
        <w:pStyle w:val="style40"/>
      </w:pPr>
      <w:r>
        <w:rPr>
          <w:rFonts w:ascii="Times New Roman" w:hAnsi="Times New Roman"/>
        </w:rPr>
        <w:t xml:space="preserve">Следует отдельно отметить, что ключевая задача проекта Модернизация системы образования Тамбовской области по повышению уровня заработной платы решена. Заработная плата работников образования  приведена в соответствие со средней заработной платой по области. </w:t>
      </w:r>
    </w:p>
    <w:p>
      <w:pPr>
        <w:pStyle w:val="style40"/>
      </w:pPr>
      <w:r>
        <w:rPr>
          <w:rFonts w:ascii="Times New Roman" w:hAnsi="Times New Roman"/>
        </w:rPr>
        <w:t xml:space="preserve">Средняя заработная плата в системе образования выросла в текущем году по сравнению с прошлым годом в полтора раза. </w:t>
      </w:r>
    </w:p>
    <w:p>
      <w:pPr>
        <w:pStyle w:val="style40"/>
      </w:pPr>
      <w:r>
        <w:rPr>
          <w:rFonts w:ascii="Times New Roman" w:hAnsi="Times New Roman"/>
        </w:rPr>
        <w:t xml:space="preserve">За январь-сентябрь средняя заработная плата учителей составила 18100 рублей, педагогических работников дошкольных образовательных учреждений и учреждений дополнительного образования детей - 16500 рублей. </w:t>
      </w:r>
    </w:p>
    <w:p>
      <w:pPr>
        <w:pStyle w:val="style40"/>
      </w:pPr>
      <w:r>
        <w:rPr>
          <w:rFonts w:ascii="Times New Roman" w:hAnsi="Times New Roman"/>
        </w:rPr>
        <w:t>Мощность Тамбовского областного государственного бюджетного учреждения здравоохранения «Рассказовская ЦРБ»  по состоянию на 01.10.2013 составила:</w:t>
      </w:r>
    </w:p>
    <w:p>
      <w:pPr>
        <w:pStyle w:val="style40"/>
      </w:pPr>
      <w:r>
        <w:rPr>
          <w:rFonts w:ascii="Times New Roman" w:hAnsi="Times New Roman"/>
        </w:rPr>
        <w:t>по больничным койкам - 487 коек;</w:t>
      </w:r>
    </w:p>
    <w:p>
      <w:pPr>
        <w:pStyle w:val="style40"/>
      </w:pPr>
      <w:r>
        <w:rPr>
          <w:rFonts w:ascii="Times New Roman" w:hAnsi="Times New Roman"/>
        </w:rPr>
        <w:t>по амбулаторно-поликлиническим учреждениям  -  917 посещений в смену;</w:t>
      </w:r>
    </w:p>
    <w:p>
      <w:pPr>
        <w:pStyle w:val="style40"/>
      </w:pPr>
      <w:r>
        <w:rPr>
          <w:rFonts w:ascii="Times New Roman" w:hAnsi="Times New Roman"/>
        </w:rPr>
        <w:t xml:space="preserve">по численности работающих -  941 человек. </w:t>
      </w:r>
    </w:p>
    <w:p>
      <w:pPr>
        <w:pStyle w:val="style40"/>
      </w:pPr>
      <w:r>
        <w:rPr>
          <w:rFonts w:ascii="Times New Roman" w:hAnsi="Times New Roman"/>
        </w:rPr>
        <w:t>В структуре учреждения функционирует ряд подразделений: хирургическое, акушерское, психиатрическое, неврологические для взрослых,</w:t>
      </w:r>
      <w:r>
        <w:rPr>
          <w:sz w:val="32"/>
          <w:rFonts w:ascii="Times New Roman" w:hAnsi="Times New Roman"/>
        </w:rPr>
        <w:t xml:space="preserve"> </w:t>
      </w:r>
      <w:r>
        <w:rPr>
          <w:rFonts w:ascii="Times New Roman" w:hAnsi="Times New Roman"/>
        </w:rPr>
        <w:t>отделение реабилитации для детей с неврологической патологией, а также инфекционное и терапевтическое.</w:t>
      </w:r>
    </w:p>
    <w:p>
      <w:pPr>
        <w:pStyle w:val="style40"/>
      </w:pPr>
      <w:r>
        <w:rPr>
          <w:rFonts w:ascii="Times New Roman" w:hAnsi="Times New Roman"/>
        </w:rPr>
        <w:t>В текущем году выдано 26 направлений выпускникам школ на поступление в медицинские высшие учебные заведения. При этом проблема обеспеченности врачами остается актуальной. При общей численности 146 врачей обеспеченность врачами составляет всего 58%.</w:t>
      </w:r>
    </w:p>
    <w:p>
      <w:pPr>
        <w:pStyle w:val="style40"/>
      </w:pPr>
      <w:r>
        <w:rPr>
          <w:rFonts w:ascii="Times New Roman" w:hAnsi="Times New Roman"/>
        </w:rPr>
        <w:t>По итогам работы за 9 месяцев 2013 плановые показатели государственных гарантий оказания медицинской помощи населению, профилактических мероприятий, диспансеризации и иммунизации выполнены на 100%.</w:t>
      </w:r>
    </w:p>
    <w:p>
      <w:pPr>
        <w:pStyle w:val="style40"/>
      </w:pPr>
      <w:r>
        <w:rPr>
          <w:rFonts w:ascii="Times New Roman" w:hAnsi="Times New Roman"/>
        </w:rPr>
        <w:t>В отчетном периоде продолжалась работа по программе модернизации здравоохранения. В целях укрепления материально-технической базы ведутся работы по капитальному ремонту. Общая сумма расходов составила 18 млн. руб. На приобретение нового лечебно-диагностического оборудования и освоению современных информационных технологий затрачено 3,2 млн.руб.</w:t>
      </w:r>
    </w:p>
    <w:p>
      <w:pPr>
        <w:pStyle w:val="style40"/>
      </w:pPr>
      <w:r>
        <w:rPr>
          <w:rFonts w:ascii="Times New Roman" w:hAnsi="Times New Roman"/>
        </w:rPr>
        <w:t xml:space="preserve">Также большое внимание уделялось повышению уровня заработной платы. В результате средняя заработная плата по ЦРБ составила 16600 рублей с ростом к уровню прошлого года 119 %). Врачи сегодня получают  33800 рублей, средний медицинский персонал - 14500 рублей, младший медицинский персонал. </w:t>
      </w:r>
    </w:p>
    <w:p>
      <w:pPr>
        <w:pStyle w:val="style40"/>
      </w:pPr>
      <w:r>
        <w:rPr>
          <w:rFonts w:ascii="Times New Roman" w:hAnsi="Times New Roman"/>
        </w:rPr>
        <w:t>В сфере охраны общественного порядка, обеспечения безопасности и борьбы с преступностью личным составом Муниципального отдела МВД России «Рассказовский» реализован комплекс запланированных мероприятий. В результате по всем направлениям деятельности обеспечен контроль за криминальной ситуацией в городе.</w:t>
      </w:r>
    </w:p>
    <w:p>
      <w:pPr>
        <w:pStyle w:val="style40"/>
      </w:pPr>
      <w:r>
        <w:rPr>
          <w:rFonts w:ascii="Times New Roman" w:hAnsi="Times New Roman"/>
        </w:rPr>
        <w:t xml:space="preserve">Общая оценка деятельности администрации города Рассказово за 2011 год по данным опроса населения города выражена в показателе </w:t>
      </w:r>
      <w:r>
        <w:rPr>
          <w:b/>
          <w:rFonts w:ascii="Times New Roman" w:hAnsi="Times New Roman"/>
        </w:rPr>
        <w:t>«</w:t>
      </w:r>
      <w:r>
        <w:rPr>
          <w:rFonts w:ascii="Times New Roman" w:hAnsi="Times New Roman"/>
        </w:rPr>
        <w:t>удовлетворенность населения деятельностью органов местного самоуправления городского округа, в том числе их информационной открытостью», который равен 72,3 % от числа опрошенных. Данный показатель повысился к уровню 2011 года на 2,8 пункта.</w:t>
      </w:r>
    </w:p>
    <w:p>
      <w:pPr>
        <w:pStyle w:val="style40"/>
      </w:pPr>
      <w:r>
        <w:rPr>
          <w:rFonts w:ascii="Times New Roman" w:hAnsi="Times New Roman"/>
        </w:rPr>
        <w:t>Согласно отчету отдела социологического мониторинга Управления по связям с общественностью Администрации Тамбовской области в 2012 году удовлетворенность населения социально-экономическрй и политической ситуации в Тамбовской области оценка степени удовлетворенности составила:</w:t>
      </w:r>
    </w:p>
    <w:p>
      <w:pPr>
        <w:pStyle w:val="style40"/>
      </w:pPr>
      <w:r>
        <w:rPr>
          <w:rFonts w:ascii="Times New Roman" w:hAnsi="Times New Roman"/>
        </w:rPr>
        <w:t>1.Удовлетворенность медицинским обслуживанием – выросла на 1,4 % с 70,9 до 72,3 %; среди городов области 3 показатель после Кирсанова и Уварова. Средний по всем городам показатель - 70,7 %.</w:t>
      </w:r>
    </w:p>
    <w:p>
      <w:pPr>
        <w:pStyle w:val="style40"/>
      </w:pPr>
      <w:r>
        <w:rPr>
          <w:rFonts w:ascii="Times New Roman" w:hAnsi="Times New Roman"/>
        </w:rPr>
        <w:t>2.Удовлетворенность дошкольным образованием  – выросла на 5,6 % с 86,7 до 92,3 %; среди городов области 4 показатель после Котовска, Кирсанова и Мичуринска. Средний по всем городам показатель - 90,8 %.</w:t>
      </w:r>
    </w:p>
    <w:p>
      <w:pPr>
        <w:pStyle w:val="style40"/>
      </w:pPr>
      <w:r>
        <w:rPr>
          <w:rFonts w:ascii="Times New Roman" w:hAnsi="Times New Roman"/>
        </w:rPr>
        <w:t>3.Удовлетворенность школьным образованием – выросла на 8,2 % с 78,0 до 86,2 %; среди городов области 3 показатель после Кирсанова и Уварова. Средний по всем городам показатель - 83 %.</w:t>
      </w:r>
    </w:p>
    <w:p>
      <w:pPr>
        <w:pStyle w:val="style40"/>
      </w:pPr>
      <w:r>
        <w:rPr>
          <w:rFonts w:ascii="Times New Roman" w:hAnsi="Times New Roman"/>
        </w:rPr>
        <w:t>4.Удовлетворенность и дополнительным образованием – выросла на 10,5 % с 87,9 до 98,4 %; среди городов области 3 показатель после Уварова и Кирсанова. Средний по всем городам показатель - 96,5 %.</w:t>
      </w:r>
    </w:p>
    <w:p>
      <w:pPr>
        <w:pStyle w:val="style40"/>
      </w:pPr>
      <w:r>
        <w:rPr>
          <w:rFonts w:ascii="Times New Roman" w:hAnsi="Times New Roman"/>
        </w:rPr>
        <w:t>5. Удовлетворенность работой культурно-досуговых учреждений – выросла на 8,8 % с 30,8 до 39,6 %; среди городов области 5 показатель после Кирсанова, Тамбова, Котовска и Мичуринска. Средний по всем городам показатель - 50,7 %.</w:t>
      </w:r>
    </w:p>
    <w:p>
      <w:pPr>
        <w:pStyle w:val="style40"/>
      </w:pPr>
      <w:r>
        <w:rPr>
          <w:rFonts w:ascii="Times New Roman" w:hAnsi="Times New Roman"/>
        </w:rPr>
        <w:t xml:space="preserve">6. Удовлетворенность качеством услуг ЖКХ – 62,8 %; среди городов области 3 показатель после Кирсанова и Уварова, однако показатель снизился на 1,1 %. Снижение среди городов наблюдается также в Тамбове, в среднем по всем городам показатель остался на уровне 2011 года - 61,4 %. </w:t>
      </w:r>
    </w:p>
    <w:p>
      <w:pPr>
        <w:pStyle w:val="style40"/>
      </w:pPr>
      <w:r>
        <w:rPr>
          <w:rFonts w:ascii="Times New Roman" w:hAnsi="Times New Roman"/>
        </w:rPr>
        <w:t xml:space="preserve">Основной причиной неудовлетворенности жителей качеством услуг ЖКХ объясняется ростом тарифов на коммунальные услуги. </w:t>
      </w:r>
    </w:p>
    <w:p>
      <w:pPr>
        <w:pStyle w:val="style40"/>
      </w:pPr>
      <w:r>
        <w:rPr>
          <w:rFonts w:ascii="Times New Roman" w:hAnsi="Times New Roman"/>
        </w:rPr>
        <w:tab/>
        <w:t>По итогам комплексной оценки эффективности деятельности органов местного самоуправления за 2012 год, с учетом результатов мониторинга, оценки населением, город Рассказово занял первое место среди городов области.</w:t>
      </w:r>
    </w:p>
    <w:p>
      <w:pPr>
        <w:pStyle w:val="style40"/>
      </w:pPr>
      <w:r>
        <w:rPr>
          <w:rFonts w:ascii="Times New Roman" w:hAnsi="Times New Roman"/>
        </w:rPr>
        <w:t>Перечень и сведения о плановых значениях показателей (индикаторов) программы и подпрограмм, включенных в состав программы, (с расшифровкой плановых значений по годам реализации) представлены в приложении № 1.</w:t>
      </w:r>
    </w:p>
    <w:p>
      <w:pPr>
        <w:pStyle w:val="style40"/>
      </w:pPr>
      <w:r>
        <w:rPr>
          <w:rFonts w:ascii="Times New Roman" w:hAnsi="Times New Roman"/>
        </w:rPr>
      </w:r>
    </w:p>
    <w:p>
      <w:pPr>
        <w:pStyle w:val="style40"/>
        <w:jc w:val="center"/>
        <w:ind w:hanging="0" w:left="0" w:right="0"/>
      </w:pPr>
      <w:r>
        <w:rPr>
          <w:u w:val="single"/>
          <w:rFonts w:ascii="Times New Roman" w:hAnsi="Times New Roman"/>
        </w:rPr>
        <w:t xml:space="preserve">2.  Приоритеты городской политики в сфере реализации </w:t>
      </w:r>
    </w:p>
    <w:p>
      <w:pPr>
        <w:pStyle w:val="style40"/>
        <w:jc w:val="center"/>
        <w:ind w:hanging="0" w:left="0" w:right="0"/>
      </w:pPr>
      <w:r>
        <w:rPr>
          <w:u w:val="single"/>
          <w:rFonts w:ascii="Times New Roman" w:hAnsi="Times New Roman"/>
        </w:rPr>
        <w:t xml:space="preserve">муниципальной программы, цели, задачи, сроки и этапы </w:t>
      </w:r>
    </w:p>
    <w:p>
      <w:pPr>
        <w:pStyle w:val="style40"/>
        <w:jc w:val="center"/>
        <w:ind w:hanging="0" w:left="0" w:right="0"/>
      </w:pPr>
      <w:r>
        <w:rPr>
          <w:u w:val="single"/>
          <w:rFonts w:ascii="Times New Roman" w:hAnsi="Times New Roman"/>
        </w:rPr>
        <w:t>реализации муниципальной программы</w:t>
      </w:r>
    </w:p>
    <w:p>
      <w:pPr>
        <w:pStyle w:val="style40"/>
      </w:pPr>
      <w:r>
        <w:rPr>
          <w:u w:val="single"/>
          <w:rFonts w:ascii="Times New Roman" w:hAnsi="Times New Roman"/>
        </w:rPr>
      </w:r>
    </w:p>
    <w:p>
      <w:pPr>
        <w:pStyle w:val="style40"/>
      </w:pPr>
      <w:r>
        <w:rPr>
          <w:rFonts w:ascii="Times New Roman" w:hAnsi="Times New Roman"/>
        </w:rPr>
        <w:t>Стратегическими приоритетами социально-экономического развития города Рассказово, требующие решения в рамках муниципальных программ на 2014 год и планируемый период 2015 и 2016 годов являются;</w:t>
      </w:r>
    </w:p>
    <w:p>
      <w:pPr>
        <w:pStyle w:val="style40"/>
      </w:pPr>
      <w:r>
        <w:rPr>
          <w:rFonts w:ascii="Times New Roman" w:hAnsi="Times New Roman"/>
        </w:rPr>
        <w:t>1.Повышение качества жизни (обеспечение социальной поддержки граждан и повышение социальной защищенности в обществе);</w:t>
      </w:r>
    </w:p>
    <w:p>
      <w:pPr>
        <w:pStyle w:val="style40"/>
      </w:pPr>
      <w:r>
        <w:rPr>
          <w:rFonts w:ascii="Times New Roman" w:hAnsi="Times New Roman"/>
        </w:rPr>
        <w:t>2. Развитие образовательного, культурного и духовного потенциала (обеспечение доступности образования и безопасности образовательного процесса, развитие культуры, физической культуры и пропаганда здорового образа жизни, развитие туризма);</w:t>
      </w:r>
    </w:p>
    <w:p>
      <w:pPr>
        <w:pStyle w:val="style40"/>
      </w:pPr>
      <w:r>
        <w:rPr>
          <w:rFonts w:ascii="Times New Roman" w:hAnsi="Times New Roman"/>
        </w:rPr>
        <w:t>3. Обеспечение условий безопасного проживания (о</w:t>
      </w:r>
      <w:r>
        <w:rPr>
          <w:color w:val="000000"/>
          <w:rFonts w:ascii="Times New Roman" w:hAnsi="Times New Roman"/>
        </w:rPr>
        <w:t>беспечение мер по противодействию терроризму и экстремизму, профилактика правонарушений и борьба с преступностью, повышение безопасности дорожного движения, снижение рисков и смягчение последствий ЧС природного и техногенного характера, пожарной безопасности, безопасности на водных объектах, о</w:t>
      </w:r>
      <w:r>
        <w:rPr>
          <w:rFonts w:ascii="Times New Roman" w:hAnsi="Times New Roman"/>
        </w:rPr>
        <w:t>храна окружающей среды, воспроизводство и использование природных ресурсов);</w:t>
      </w:r>
    </w:p>
    <w:p>
      <w:pPr>
        <w:pStyle w:val="style40"/>
      </w:pPr>
      <w:r>
        <w:rPr>
          <w:rFonts w:ascii="Times New Roman" w:hAnsi="Times New Roman"/>
        </w:rPr>
        <w:t>4. Повышение качества проживания (обеспечение населения комфортным и доступным жильём, а также качественными коммунальными услугами, развитие дорожной сети и общественной инфраструктуры, развитие благоустройства города);</w:t>
      </w:r>
    </w:p>
    <w:p>
      <w:pPr>
        <w:pStyle w:val="style40"/>
      </w:pPr>
      <w:r>
        <w:rPr>
          <w:rFonts w:ascii="Times New Roman" w:hAnsi="Times New Roman"/>
        </w:rPr>
        <w:t>5. Инновационное развитие и модернизация экономики (развитие промышленности и повышение ее конкурентоспособности, развитие малого и среднего предпринимательства, энергосбережение и повышение энергетической эффективности);</w:t>
      </w:r>
    </w:p>
    <w:p>
      <w:pPr>
        <w:pStyle w:val="style40"/>
      </w:pPr>
      <w:r>
        <w:rPr>
          <w:rFonts w:ascii="Times New Roman" w:hAnsi="Times New Roman"/>
        </w:rPr>
        <w:t>6. Эффективное муниципальное управление и формирование гражданского общества (обеспечение открытости и доступности деятельности органов местного самоуправления, эффективное управление финансами и муниципальной собственностью, развитие институтов гражданского общества).</w:t>
      </w:r>
    </w:p>
    <w:p>
      <w:pPr>
        <w:pStyle w:val="style40"/>
      </w:pPr>
      <w:r>
        <w:rPr>
          <w:rFonts w:ascii="Times New Roman" w:hAnsi="Times New Roman"/>
        </w:rPr>
        <w:t>Основные проблемы в сфере реализации муниципальной программы:</w:t>
      </w:r>
    </w:p>
    <w:p>
      <w:pPr>
        <w:pStyle w:val="style40"/>
      </w:pPr>
      <w:r>
        <w:rPr>
          <w:rFonts w:ascii="Times New Roman" w:hAnsi="Times New Roman"/>
        </w:rPr>
        <w:t>- недостаточно высокий уровень конкурентоспособности выпускаемой продукции, товаров и услуг;</w:t>
      </w:r>
    </w:p>
    <w:p>
      <w:pPr>
        <w:pStyle w:val="style40"/>
      </w:pPr>
      <w:r>
        <w:rPr>
          <w:rFonts w:ascii="Times New Roman" w:hAnsi="Times New Roman"/>
        </w:rPr>
        <w:t>-высокие кредиторская и дебиторская задолженности, снижение финансовых результатов предприятий вследствие влияния финансово-экономического кризиса;</w:t>
      </w:r>
    </w:p>
    <w:p>
      <w:pPr>
        <w:pStyle w:val="style40"/>
      </w:pPr>
      <w:r>
        <w:rPr>
          <w:rFonts w:ascii="Times New Roman" w:hAnsi="Times New Roman"/>
        </w:rPr>
        <w:t>- высокий износ основных фондов, низкие темпы техперевооружения;</w:t>
      </w:r>
    </w:p>
    <w:p>
      <w:pPr>
        <w:pStyle w:val="style40"/>
      </w:pPr>
      <w:r>
        <w:rPr>
          <w:rFonts w:ascii="Times New Roman" w:hAnsi="Times New Roman"/>
        </w:rPr>
        <w:t>-высокие тарифы на услуги естественных монополий;</w:t>
      </w:r>
    </w:p>
    <w:p>
      <w:pPr>
        <w:pStyle w:val="style40"/>
      </w:pPr>
      <w:r>
        <w:rPr>
          <w:rFonts w:ascii="Times New Roman" w:hAnsi="Times New Roman"/>
        </w:rPr>
        <w:t>-высокий уровень налогообложения;</w:t>
      </w:r>
    </w:p>
    <w:p>
      <w:pPr>
        <w:pStyle w:val="style40"/>
      </w:pPr>
      <w:r>
        <w:rPr>
          <w:rFonts w:ascii="Times New Roman" w:hAnsi="Times New Roman"/>
        </w:rPr>
        <w:t>- сокращение доли инвестиций, направленных на развитие обрабатывающих производств;</w:t>
      </w:r>
    </w:p>
    <w:p>
      <w:pPr>
        <w:pStyle w:val="style40"/>
      </w:pPr>
      <w:r>
        <w:rPr>
          <w:rFonts w:ascii="Times New Roman" w:hAnsi="Times New Roman"/>
        </w:rPr>
        <w:t>-невысокий уровень развития малого предпринимательства в промышленности;</w:t>
      </w:r>
    </w:p>
    <w:p>
      <w:pPr>
        <w:pStyle w:val="style40"/>
      </w:pPr>
      <w:r>
        <w:rPr>
          <w:rFonts w:ascii="Times New Roman" w:hAnsi="Times New Roman"/>
        </w:rPr>
        <w:t>- большинство субъектов малого и среднего предпринимательства области не располагают достаточными средствами для обеспечения выполнения обязательств перед кредитными организациями. Не получили достаточного развития лизинговые отношения;</w:t>
      </w:r>
    </w:p>
    <w:p>
      <w:pPr>
        <w:pStyle w:val="style40"/>
      </w:pPr>
      <w:r>
        <w:rPr>
          <w:rFonts w:ascii="Times New Roman" w:hAnsi="Times New Roman"/>
        </w:rPr>
        <w:t>- специальные налоговые режимы, предназначенные в основном для субъектов малого предпринимательства, требуют дальнейшей оптимизации;</w:t>
      </w:r>
    </w:p>
    <w:p>
      <w:pPr>
        <w:pStyle w:val="style40"/>
      </w:pPr>
      <w:r>
        <w:rPr>
          <w:rFonts w:ascii="Times New Roman" w:hAnsi="Times New Roman"/>
        </w:rPr>
        <w:t>- недостаточный уровень инновационной активности, а именно: не сформирован рынок инноваций, высокая стоимость нововведений, отсутствие эффективных связей между наукой и производством, неразвитость малого инновационного предпринимательства;</w:t>
      </w:r>
    </w:p>
    <w:p>
      <w:pPr>
        <w:pStyle w:val="style40"/>
      </w:pPr>
      <w:r>
        <w:rPr>
          <w:rFonts w:ascii="Times New Roman" w:hAnsi="Times New Roman"/>
        </w:rPr>
        <w:t>-дефицит высококвалифицированных рабочих массовых профессий и инженерно-технических работников;</w:t>
      </w:r>
    </w:p>
    <w:p>
      <w:pPr>
        <w:pStyle w:val="style40"/>
      </w:pPr>
      <w:r>
        <w:rPr>
          <w:rFonts w:ascii="Times New Roman" w:hAnsi="Times New Roman"/>
        </w:rPr>
        <w:t>-демографические проблемы, проявляющиеся в процессе старения населения (ухудшение соотношения возрастных групп моложе и старше трудоспособного возраста);</w:t>
      </w:r>
    </w:p>
    <w:p>
      <w:pPr>
        <w:pStyle w:val="style40"/>
      </w:pPr>
      <w:r>
        <w:rPr>
          <w:rFonts w:ascii="Times New Roman" w:hAnsi="Times New Roman"/>
        </w:rPr>
        <w:t>- высокая зависимость показателей социально-экономического развития области от макроэкономических показателей развития Российской Федерации.</w:t>
      </w:r>
    </w:p>
    <w:p>
      <w:pPr>
        <w:pStyle w:val="style40"/>
      </w:pPr>
      <w:r>
        <w:rPr>
          <w:rFonts w:ascii="Times New Roman" w:hAnsi="Times New Roman"/>
        </w:rPr>
        <w:t>В целях совершенствования системы предоставления услуг необходимо создание Многофункционального Центра по оказанию государственных и муниципальных услуг на территории города, а также необходимо решить проблемы:</w:t>
      </w:r>
    </w:p>
    <w:p>
      <w:pPr>
        <w:pStyle w:val="style40"/>
      </w:pPr>
      <w:r>
        <w:rPr>
          <w:rFonts w:ascii="Times New Roman" w:hAnsi="Times New Roman"/>
        </w:rPr>
        <w:t>отсутствия эффективного межведомственного взаимодействия государственных органов власти федерального и регионального уровней, а также органов местного самоуправления при оказании государственных и муниципальных услуг;</w:t>
      </w:r>
    </w:p>
    <w:p>
      <w:pPr>
        <w:pStyle w:val="style40"/>
      </w:pPr>
      <w:r>
        <w:rPr>
          <w:rFonts w:ascii="Times New Roman" w:hAnsi="Times New Roman"/>
        </w:rPr>
        <w:t>внедрения информационно-коммуникационных технологий в процесс предоставления муниципальных услуг.</w:t>
      </w:r>
    </w:p>
    <w:p>
      <w:pPr>
        <w:pStyle w:val="style40"/>
      </w:pPr>
      <w:r>
        <w:rPr>
          <w:rFonts w:ascii="Times New Roman" w:hAnsi="Times New Roman"/>
        </w:rPr>
        <w:t>В ходе реализации муниципальной программы  «Экономическое развитие и инновационная экономика» предполагается постепенная стабилизация экономической ситуации, поступательное развитие реального сектора экономики.</w:t>
      </w:r>
    </w:p>
    <w:p>
      <w:pPr>
        <w:pStyle w:val="style40"/>
      </w:pPr>
      <w:r>
        <w:rPr>
          <w:rFonts w:ascii="Times New Roman" w:hAnsi="Times New Roman"/>
        </w:rPr>
        <w:t>Программа определяет ключевые направления деятельности администрации города на 2014-2020 годы, такие как дальнейшее развитие и поддержка малого и среднего предпринимательства, наращивание налогооблагаемой базы, координация работы по привлечению частных инвестиций в экономику, а также средств из вышестоящих бюджетов за счет вхождения в государственные и федеральные программы, создание благоприятного инвестиционного климата, обеспечивающих повышение благосостояния населения на основе стабилизации и дальнейшего экономического роста.</w:t>
      </w:r>
    </w:p>
    <w:p>
      <w:pPr>
        <w:pStyle w:val="style40"/>
      </w:pPr>
      <w:r>
        <w:rPr>
          <w:rFonts w:ascii="Times New Roman" w:hAnsi="Times New Roman"/>
        </w:rPr>
        <w:t>Цели муниципальной программы разделены на два направления:</w:t>
      </w:r>
    </w:p>
    <w:p>
      <w:pPr>
        <w:pStyle w:val="style36"/>
        <w:ind w:firstLine="708" w:left="0" w:right="0"/>
      </w:pPr>
      <w:r>
        <w:rPr/>
        <w:t>первое - создание благоприятного инвестиционного климата и условия для ведения бизнеса;</w:t>
      </w:r>
    </w:p>
    <w:p>
      <w:pPr>
        <w:pStyle w:val="style36"/>
        <w:ind w:firstLine="708" w:left="0" w:right="0"/>
      </w:pPr>
      <w:r>
        <w:rPr/>
        <w:t>второе - повышение эффективности муниципального управления.</w:t>
      </w:r>
    </w:p>
    <w:p>
      <w:pPr>
        <w:pStyle w:val="style40"/>
      </w:pPr>
      <w:r>
        <w:rPr>
          <w:rFonts w:ascii="Times New Roman" w:hAnsi="Times New Roman"/>
        </w:rPr>
        <w:t>Для достижения конечного результата по первому направления разработаны две подпрограммы:</w:t>
      </w:r>
    </w:p>
    <w:p>
      <w:pPr>
        <w:pStyle w:val="style40"/>
      </w:pPr>
      <w:r>
        <w:rPr>
          <w:rFonts w:ascii="Times New Roman" w:hAnsi="Times New Roman"/>
        </w:rPr>
        <w:t>1.«Формирование экономического потенциала»;</w:t>
      </w:r>
    </w:p>
    <w:p>
      <w:pPr>
        <w:pStyle w:val="style40"/>
      </w:pPr>
      <w:r>
        <w:rPr>
          <w:rFonts w:ascii="Times New Roman" w:hAnsi="Times New Roman"/>
        </w:rPr>
        <w:t>2.</w:t>
      </w:r>
      <w:r>
        <w:rPr>
          <w:szCs w:val="24"/>
          <w:rFonts w:ascii="Times New Roman" w:hAnsi="Times New Roman"/>
        </w:rPr>
        <w:t xml:space="preserve"> «Развитие малого и среднего предпринимательства».</w:t>
      </w:r>
    </w:p>
    <w:p>
      <w:pPr>
        <w:pStyle w:val="style40"/>
      </w:pPr>
      <w:r>
        <w:rPr>
          <w:szCs w:val="24"/>
          <w:rFonts w:ascii="Times New Roman" w:hAnsi="Times New Roman"/>
        </w:rPr>
        <w:t>Для достижения результата по второму направлению разработана подпрограмма:</w:t>
      </w:r>
    </w:p>
    <w:p>
      <w:pPr>
        <w:pStyle w:val="style40"/>
      </w:pPr>
      <w:r>
        <w:rPr>
          <w:rFonts w:ascii="Times New Roman" w:hAnsi="Times New Roman"/>
        </w:rPr>
        <w:t xml:space="preserve">3.»Совершенствование </w:t>
      </w:r>
      <w:r>
        <w:rPr>
          <w:szCs w:val="24"/>
          <w:rFonts w:ascii="Times New Roman" w:hAnsi="Times New Roman"/>
        </w:rPr>
        <w:t>муниципального управления</w:t>
      </w:r>
      <w:r>
        <w:rPr>
          <w:rFonts w:ascii="Times New Roman" w:hAnsi="Times New Roman"/>
        </w:rPr>
        <w:t>».</w:t>
      </w:r>
    </w:p>
    <w:p>
      <w:pPr>
        <w:pStyle w:val="style40"/>
      </w:pPr>
      <w:r>
        <w:rPr>
          <w:rFonts w:ascii="Times New Roman" w:hAnsi="Times New Roman"/>
        </w:rPr>
        <w:t>Исходя из обозначенных выше основных проблем и приоритетов развития города, целями настоящей муниципальной программы являются:</w:t>
      </w:r>
    </w:p>
    <w:p>
      <w:pPr>
        <w:pStyle w:val="style40"/>
      </w:pPr>
      <w:r>
        <w:rPr>
          <w:rFonts w:ascii="Times New Roman" w:hAnsi="Times New Roman"/>
        </w:rPr>
        <w:t xml:space="preserve">цель 1:  Повышение конкурентоспособности экономики и инвестиционной привлекательности города; </w:t>
      </w:r>
    </w:p>
    <w:p>
      <w:pPr>
        <w:pStyle w:val="style40"/>
      </w:pPr>
      <w:r>
        <w:rPr>
          <w:rFonts w:ascii="Times New Roman" w:hAnsi="Times New Roman"/>
        </w:rPr>
        <w:t xml:space="preserve">цель 2.  Создание благоприятного инвестиционного климата и условий для ведения бизнеса;               </w:t>
      </w:r>
    </w:p>
    <w:p>
      <w:pPr>
        <w:pStyle w:val="style40"/>
      </w:pPr>
      <w:r>
        <w:rPr>
          <w:rFonts w:ascii="Times New Roman" w:hAnsi="Times New Roman"/>
        </w:rPr>
        <w:t>цель 3:  Повышение эффективности муниципального управления.</w:t>
      </w:r>
    </w:p>
    <w:p>
      <w:pPr>
        <w:pStyle w:val="style40"/>
      </w:pPr>
      <w:r>
        <w:rPr>
          <w:rFonts w:ascii="Times New Roman" w:hAnsi="Times New Roman"/>
        </w:rPr>
        <w:t>Достижение заявленных целей потребует решения следующих задач:</w:t>
      </w:r>
    </w:p>
    <w:p>
      <w:pPr>
        <w:pStyle w:val="style40"/>
      </w:pPr>
      <w:r>
        <w:rPr>
          <w:rFonts w:ascii="Times New Roman" w:hAnsi="Times New Roman"/>
        </w:rPr>
        <w:t>1.Обеспечение сбалансированного экономического развития и  конкурентоспособности экономики города.</w:t>
      </w:r>
    </w:p>
    <w:p>
      <w:pPr>
        <w:pStyle w:val="style40"/>
      </w:pPr>
      <w:r>
        <w:rPr>
          <w:rFonts w:ascii="Times New Roman" w:hAnsi="Times New Roman"/>
        </w:rPr>
        <w:t xml:space="preserve">2.Повышение инвестиционной привлекательности города и создание условий для привлечения инвестиций в экономику города.                                 </w:t>
      </w:r>
    </w:p>
    <w:p>
      <w:pPr>
        <w:pStyle w:val="style40"/>
      </w:pPr>
      <w:r>
        <w:rPr>
          <w:rFonts w:ascii="Times New Roman" w:hAnsi="Times New Roman"/>
        </w:rPr>
        <w:t>3.Обеспечение благоприятных условий для развития субъектов малого и среднего предпринимательства в целях формирования конкурентной среды в экономике.</w:t>
      </w:r>
    </w:p>
    <w:p>
      <w:pPr>
        <w:pStyle w:val="style40"/>
      </w:pPr>
      <w:r>
        <w:rPr>
          <w:rFonts w:ascii="Times New Roman" w:hAnsi="Times New Roman"/>
        </w:rPr>
        <w:t xml:space="preserve">4.Создание населению города комфортных условий для приобретения качественных и безопасных товаров, ориентированных на разные социальные группы потребителей, в первую очередь отечественного производства, в пределах территориальной доступности.                                             </w:t>
      </w:r>
    </w:p>
    <w:p>
      <w:pPr>
        <w:pStyle w:val="style40"/>
      </w:pPr>
      <w:r>
        <w:rPr>
          <w:rFonts w:ascii="Times New Roman" w:hAnsi="Times New Roman"/>
        </w:rPr>
        <w:t>5.Повышение доступности и качества государственных и муниципальных услуг.</w:t>
      </w:r>
    </w:p>
    <w:p>
      <w:pPr>
        <w:pStyle w:val="style40"/>
      </w:pPr>
      <w:r>
        <w:rPr>
          <w:rFonts w:ascii="Times New Roman" w:hAnsi="Times New Roman"/>
        </w:rPr>
        <w:t>Ожидаемые конечные результаты и социально-экономические последствия реализации муниципальной программы станут существенным вкладом в достижение важнейших стратегических целей социально-экономического развития города.</w:t>
      </w:r>
    </w:p>
    <w:p>
      <w:pPr>
        <w:pStyle w:val="style40"/>
      </w:pPr>
      <w:r>
        <w:rPr>
          <w:rFonts w:ascii="Times New Roman" w:hAnsi="Times New Roman"/>
        </w:rPr>
        <w:t>Сроки реализации муниципальной программы 2014-2020 годы. Выделение этапов не предусматривается.</w:t>
      </w:r>
    </w:p>
    <w:p>
      <w:pPr>
        <w:pStyle w:val="style40"/>
      </w:pPr>
      <w:r>
        <w:rPr>
          <w:rFonts w:ascii="Times New Roman" w:hAnsi="Times New Roman"/>
        </w:rPr>
      </w:r>
    </w:p>
    <w:p>
      <w:pPr>
        <w:pStyle w:val="style40"/>
      </w:pPr>
      <w:r>
        <w:rPr>
          <w:u w:val="single"/>
          <w:rFonts w:ascii="Times New Roman" w:hAnsi="Times New Roman"/>
        </w:rPr>
        <w:t>3. Показатели (индикаторы) достижения целей и решения задач,</w:t>
      </w:r>
    </w:p>
    <w:p>
      <w:pPr>
        <w:pStyle w:val="style40"/>
      </w:pPr>
      <w:r>
        <w:rPr>
          <w:u w:val="single"/>
          <w:rFonts w:ascii="Times New Roman" w:hAnsi="Times New Roman"/>
        </w:rPr>
        <w:t>основные ожидаемые результаты муниципальной программы</w:t>
      </w:r>
    </w:p>
    <w:p>
      <w:pPr>
        <w:pStyle w:val="style40"/>
      </w:pPr>
      <w:r>
        <w:rPr>
          <w:rFonts w:ascii="Times New Roman" w:hAnsi="Times New Roman"/>
        </w:rPr>
      </w:r>
    </w:p>
    <w:p>
      <w:pPr>
        <w:pStyle w:val="style40"/>
      </w:pPr>
      <w:r>
        <w:rPr>
          <w:rFonts w:ascii="Times New Roman" w:hAnsi="Times New Roman"/>
        </w:rPr>
        <w:t>Показателями достижения целей и решения задач муниципальной программы являются:</w:t>
      </w:r>
    </w:p>
    <w:p>
      <w:pPr>
        <w:pStyle w:val="style40"/>
      </w:pPr>
      <w:r>
        <w:rPr>
          <w:rFonts w:ascii="Times New Roman" w:hAnsi="Times New Roman"/>
        </w:rPr>
        <w:t xml:space="preserve">Цель 1: Повышение конкурентоспособности экономики и инвестиционной привлекательности города. </w:t>
      </w:r>
    </w:p>
    <w:p>
      <w:pPr>
        <w:pStyle w:val="style40"/>
      </w:pPr>
      <w:r>
        <w:rPr>
          <w:szCs w:val="24"/>
          <w:rFonts w:ascii="Times New Roman" w:hAnsi="Times New Roman"/>
        </w:rPr>
        <w:t>Задача 1:</w:t>
      </w:r>
      <w:r>
        <w:rPr>
          <w:rFonts w:ascii="Times New Roman" w:hAnsi="Times New Roman"/>
        </w:rPr>
        <w:t xml:space="preserve"> </w:t>
      </w:r>
      <w:r>
        <w:rPr>
          <w:szCs w:val="24"/>
          <w:rFonts w:ascii="Times New Roman" w:hAnsi="Times New Roman"/>
        </w:rPr>
        <w:t>Формирование современного высоко технологического промышленного комплекса, способного конкурировать на общероссийском и международном уровнях</w:t>
      </w:r>
      <w:r>
        <w:rPr>
          <w:rFonts w:ascii="Times New Roman" w:hAnsi="Times New Roman"/>
        </w:rPr>
        <w:t xml:space="preserve"> </w:t>
      </w:r>
    </w:p>
    <w:p>
      <w:pPr>
        <w:pStyle w:val="style40"/>
      </w:pPr>
      <w:r>
        <w:rPr>
          <w:szCs w:val="24"/>
          <w:rFonts w:ascii="Times New Roman" w:hAnsi="Times New Roman"/>
        </w:rPr>
        <w:t>- темп роста объема отгрузки продукции промышленного производства - 115 %;</w:t>
      </w:r>
    </w:p>
    <w:p>
      <w:pPr>
        <w:pStyle w:val="style40"/>
      </w:pPr>
      <w:r>
        <w:rPr>
          <w:szCs w:val="24"/>
          <w:rFonts w:ascii="Times New Roman" w:hAnsi="Times New Roman"/>
        </w:rPr>
        <w:t>Задача 2: Создание благоприятных условий для эффективного развития субъектов малого и среднего предпринимательства в целях повышения его роли в реализации социально-экономических задач на территории города, обеспечение занятости населения и развитие самозанятости:</w:t>
      </w:r>
    </w:p>
    <w:p>
      <w:pPr>
        <w:pStyle w:val="style40"/>
      </w:pPr>
      <w:r>
        <w:rPr>
          <w:szCs w:val="24"/>
          <w:rFonts w:ascii="Times New Roman" w:hAnsi="Times New Roman"/>
        </w:rPr>
        <w:t>-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города - 41,3 %;</w:t>
      </w:r>
    </w:p>
    <w:p>
      <w:pPr>
        <w:pStyle w:val="style40"/>
      </w:pPr>
      <w:r>
        <w:rPr>
          <w:rFonts w:ascii="Times New Roman" w:hAnsi="Times New Roman"/>
        </w:rPr>
        <w:t>- создание дополнительных рабочих мест в малых и средних предприятиях - 140 единиц;</w:t>
      </w:r>
    </w:p>
    <w:p>
      <w:pPr>
        <w:pStyle w:val="style40"/>
      </w:pPr>
      <w:r>
        <w:rPr>
          <w:szCs w:val="24"/>
          <w:rFonts w:ascii="Times New Roman" w:hAnsi="Times New Roman"/>
        </w:rPr>
        <w:t xml:space="preserve">Задача 3: </w:t>
      </w:r>
      <w:r>
        <w:rPr>
          <w:rFonts w:ascii="Times New Roman" w:hAnsi="Times New Roman"/>
        </w:rPr>
        <w:t>Создание населению города комфортных условий для приобретения качественных и безопасных товаров, ориентированных на разные социальные группы потребителей, в первую очередь отечественного производства, в пределах территориальной доступности:</w:t>
      </w:r>
    </w:p>
    <w:p>
      <w:pPr>
        <w:pStyle w:val="style40"/>
      </w:pPr>
      <w:r>
        <w:rPr>
          <w:rFonts w:ascii="Times New Roman" w:hAnsi="Times New Roman"/>
        </w:rPr>
        <w:t>- индекс физического объема розничного товарооборота  во всех каналах реализации - 111,5 %;</w:t>
      </w:r>
    </w:p>
    <w:p>
      <w:pPr>
        <w:pStyle w:val="style40"/>
      </w:pPr>
      <w:r>
        <w:rPr>
          <w:szCs w:val="24"/>
          <w:rFonts w:ascii="Times New Roman" w:hAnsi="Times New Roman"/>
        </w:rPr>
        <w:t>- индекс физического объема розничного товарооборота  рынка - 103,8%;</w:t>
      </w:r>
    </w:p>
    <w:p>
      <w:pPr>
        <w:pStyle w:val="style40"/>
      </w:pPr>
      <w:r>
        <w:rPr>
          <w:rFonts w:ascii="Times New Roman" w:hAnsi="Times New Roman"/>
        </w:rPr>
        <w:t>Задача 4: Привлечение инвестиций в экономику города:</w:t>
      </w:r>
    </w:p>
    <w:p>
      <w:pPr>
        <w:pStyle w:val="style40"/>
      </w:pPr>
      <w:r>
        <w:rPr>
          <w:rFonts w:ascii="Times New Roman" w:hAnsi="Times New Roman"/>
        </w:rPr>
        <w:t>- индекс физического объема инвестиций в основной капитал - 118 %;</w:t>
      </w:r>
    </w:p>
    <w:p>
      <w:pPr>
        <w:pStyle w:val="style40"/>
      </w:pPr>
      <w:r>
        <w:rPr>
          <w:rFonts w:ascii="Times New Roman" w:hAnsi="Times New Roman"/>
        </w:rPr>
        <w:t xml:space="preserve">- инвестиции в основной капитал (за исключением бюджетных средств) в расчете на одного человека - </w:t>
      </w:r>
      <w:r>
        <w:rPr>
          <w:szCs w:val="24"/>
          <w:rFonts w:ascii="Times New Roman" w:hAnsi="Times New Roman"/>
        </w:rPr>
        <w:t>9730 рублей</w:t>
      </w:r>
      <w:r>
        <w:rPr>
          <w:rFonts w:ascii="Times New Roman" w:hAnsi="Times New Roman"/>
        </w:rPr>
        <w:t>;</w:t>
      </w:r>
    </w:p>
    <w:p>
      <w:pPr>
        <w:pStyle w:val="style40"/>
      </w:pPr>
      <w:r>
        <w:rPr>
          <w:rFonts w:ascii="Times New Roman" w:hAnsi="Times New Roman"/>
        </w:rPr>
        <w:t xml:space="preserve">Цель 2.  Создание благоприятного инвестиционного климата и условий для ведения бизнеса.               </w:t>
      </w:r>
    </w:p>
    <w:p>
      <w:pPr>
        <w:pStyle w:val="style40"/>
      </w:pPr>
      <w:r>
        <w:rPr>
          <w:szCs w:val="24"/>
          <w:rFonts w:ascii="Times New Roman" w:hAnsi="Times New Roman"/>
        </w:rPr>
        <w:t xml:space="preserve">Задача 5: </w:t>
      </w:r>
      <w:r>
        <w:rPr>
          <w:rFonts w:ascii="Times New Roman" w:hAnsi="Times New Roman"/>
        </w:rPr>
        <w:t>Обеспечение благоприятных условий для развития субъектов малого и среднего предпринимательства в целях формирования конкурентной среды в экономике:</w:t>
      </w:r>
    </w:p>
    <w:p>
      <w:pPr>
        <w:pStyle w:val="style40"/>
      </w:pPr>
      <w:r>
        <w:rPr>
          <w:szCs w:val="24"/>
          <w:rFonts w:ascii="Times New Roman" w:hAnsi="Times New Roman"/>
        </w:rPr>
        <w:t>- оборот продукции (услуг), производимой малыми предприятиям и индивидуальными предпринимателями - 4020 млн.руб., в том числе малыми предприятиями - 2740 млн.руб.;</w:t>
      </w:r>
    </w:p>
    <w:p>
      <w:pPr>
        <w:pStyle w:val="style40"/>
      </w:pPr>
      <w:r>
        <w:rPr>
          <w:szCs w:val="24"/>
          <w:rFonts w:ascii="Times New Roman" w:hAnsi="Times New Roman"/>
        </w:rPr>
        <w:t xml:space="preserve">- количество субъектов малого и среднего предпринимательства, осуществляющих деятельность </w:t>
      </w:r>
      <w:r>
        <w:rPr>
          <w:szCs w:val="24"/>
          <w:rFonts w:ascii="Times New Roman" w:hAnsi="Times New Roman"/>
        </w:rPr>
        <w:t>- 1765 единиц</w:t>
      </w:r>
      <w:r>
        <w:rPr>
          <w:szCs w:val="24"/>
          <w:rFonts w:ascii="Times New Roman" w:hAnsi="Times New Roman"/>
        </w:rPr>
        <w:t>;</w:t>
      </w:r>
    </w:p>
    <w:p>
      <w:pPr>
        <w:pStyle w:val="style40"/>
      </w:pPr>
      <w:r>
        <w:rPr>
          <w:szCs w:val="24"/>
          <w:rFonts w:ascii="Times New Roman" w:hAnsi="Times New Roman"/>
        </w:rPr>
        <w:t>- количество конференций,  встреч, конкурсов по вопросам развития малого и среднего предпринимательства - 21 единиц;</w:t>
      </w:r>
    </w:p>
    <w:p>
      <w:pPr>
        <w:pStyle w:val="style40"/>
      </w:pPr>
      <w:r>
        <w:rPr>
          <w:rFonts w:ascii="Times New Roman" w:hAnsi="Times New Roman"/>
        </w:rPr>
        <w:t>Цель 3:  Повышение эффективности муниципального управления.</w:t>
      </w:r>
    </w:p>
    <w:p>
      <w:pPr>
        <w:pStyle w:val="style40"/>
      </w:pPr>
      <w:r>
        <w:rPr>
          <w:rFonts w:ascii="Times New Roman" w:hAnsi="Times New Roman"/>
        </w:rPr>
        <w:t>Задача 6: Повышение доступности и качества государственных и муниципальных услуг:</w:t>
      </w:r>
    </w:p>
    <w:p>
      <w:pPr>
        <w:pStyle w:val="style40"/>
      </w:pPr>
      <w:r>
        <w:rPr>
          <w:rFonts w:ascii="Times New Roman" w:hAnsi="Times New Roman"/>
        </w:rPr>
        <w:t>- доля граждан, имеющих доступ к получению  муниципальных услуг на базе МФЦ - 100 %;</w:t>
      </w:r>
    </w:p>
    <w:p>
      <w:pPr>
        <w:pStyle w:val="style40"/>
      </w:pPr>
      <w:r>
        <w:rPr>
          <w:rFonts w:ascii="Times New Roman" w:hAnsi="Times New Roman"/>
        </w:rPr>
        <w:t>- уровень удовлетворенности населения города качеством предоставления муниципальных услуг - 90 %;</w:t>
      </w:r>
    </w:p>
    <w:p>
      <w:pPr>
        <w:pStyle w:val="style40"/>
      </w:pPr>
      <w:r>
        <w:rPr>
          <w:rFonts w:ascii="Times New Roman" w:hAnsi="Times New Roman"/>
        </w:rPr>
        <w:t>- среднее время ожидания в очереди при обращении заявителя в муниципальный орган Российской Федерации - 15 минут.</w:t>
      </w:r>
    </w:p>
    <w:p>
      <w:pPr>
        <w:pStyle w:val="style40"/>
      </w:pPr>
      <w:r>
        <w:rPr>
          <w:rFonts w:ascii="Times New Roman" w:hAnsi="Times New Roman"/>
        </w:rPr>
        <w:t>Расшифровка плановых значений показателей (индикаторов) муниципальной программы по годам реализации представлены в приложении N 1к муниципальной программе.</w:t>
      </w:r>
    </w:p>
    <w:p>
      <w:pPr>
        <w:pStyle w:val="style40"/>
      </w:pPr>
      <w:r>
        <w:rPr>
          <w:szCs w:val="24"/>
          <w:rFonts w:ascii="Times New Roman" w:hAnsi="Times New Roman"/>
        </w:rPr>
      </w:r>
    </w:p>
    <w:p>
      <w:pPr>
        <w:pStyle w:val="style40"/>
        <w:jc w:val="center"/>
      </w:pPr>
      <w:r>
        <w:rPr>
          <w:u w:val="single"/>
          <w:rFonts w:ascii="Times New Roman" w:hAnsi="Times New Roman"/>
        </w:rPr>
        <w:t>4. Обобщенная характеристика мероприятий программы</w:t>
      </w:r>
    </w:p>
    <w:p>
      <w:pPr>
        <w:pStyle w:val="style40"/>
      </w:pPr>
      <w:r>
        <w:rPr>
          <w:rFonts w:ascii="Times New Roman" w:hAnsi="Times New Roman"/>
        </w:rPr>
      </w:r>
    </w:p>
    <w:p>
      <w:pPr>
        <w:pStyle w:val="style40"/>
      </w:pPr>
      <w:r>
        <w:rPr>
          <w:rFonts w:ascii="Times New Roman" w:hAnsi="Times New Roman"/>
        </w:rPr>
        <w:t>Мероприятия муниципальной программы объединены по двум направлениям в три подпрограммы. Каждая из подпрограмм имеет собственную систему целевых ориентиров, согласующихся с целями и задачами муниципальной программы и подкрепленных конкретными комплексами мероприятий.</w:t>
      </w:r>
    </w:p>
    <w:p>
      <w:pPr>
        <w:pStyle w:val="style40"/>
      </w:pPr>
      <w:r>
        <w:rPr>
          <w:rFonts w:ascii="Times New Roman" w:hAnsi="Times New Roman"/>
        </w:rPr>
        <w:t>Подпрограмма «Формирование экономического потенциала»:</w:t>
      </w:r>
    </w:p>
    <w:p>
      <w:pPr>
        <w:pStyle w:val="style40"/>
      </w:pPr>
      <w:r>
        <w:rPr>
          <w:rFonts w:ascii="Times New Roman" w:hAnsi="Times New Roman"/>
        </w:rPr>
        <w:t>Достижение заявленных целей и решение поставленных задач подпрограммы будет осуществляться в рамках реализации следующих направлений:</w:t>
      </w:r>
    </w:p>
    <w:p>
      <w:pPr>
        <w:pStyle w:val="style40"/>
      </w:pPr>
      <w:r>
        <w:rPr>
          <w:rFonts w:ascii="Times New Roman" w:hAnsi="Times New Roman"/>
        </w:rPr>
        <w:t>В целях формирования современного высоко технологического промышленного комплекса, способного конкурировать на общероссийском и международном уровнях:</w:t>
      </w:r>
    </w:p>
    <w:p>
      <w:pPr>
        <w:pStyle w:val="style40"/>
      </w:pPr>
      <w:r>
        <w:rPr>
          <w:rFonts w:ascii="Times New Roman" w:hAnsi="Times New Roman"/>
        </w:rPr>
        <w:t>- обеспечение экономического подъема за счет привлечения инвестиций в производство;</w:t>
      </w:r>
    </w:p>
    <w:p>
      <w:pPr>
        <w:pStyle w:val="style40"/>
      </w:pPr>
      <w:r>
        <w:rPr>
          <w:rFonts w:ascii="Times New Roman" w:hAnsi="Times New Roman"/>
        </w:rPr>
        <w:t>- создание подготовленных новых «промышленных площадок» в дополнение к трем существующим;</w:t>
      </w:r>
    </w:p>
    <w:p>
      <w:pPr>
        <w:pStyle w:val="style40"/>
      </w:pPr>
      <w:r>
        <w:rPr>
          <w:rFonts w:ascii="Times New Roman" w:hAnsi="Times New Roman"/>
        </w:rPr>
        <w:t>- развитие государственно-частного партнерства;</w:t>
      </w:r>
    </w:p>
    <w:p>
      <w:pPr>
        <w:pStyle w:val="style40"/>
      </w:pPr>
      <w:r>
        <w:rPr>
          <w:rFonts w:ascii="Times New Roman" w:hAnsi="Times New Roman"/>
        </w:rPr>
        <w:t>- активизация инвестиционной деятельности хозяйствующих субъектов;</w:t>
      </w:r>
    </w:p>
    <w:p>
      <w:pPr>
        <w:pStyle w:val="style40"/>
      </w:pPr>
      <w:r>
        <w:rPr>
          <w:rFonts w:ascii="Times New Roman" w:hAnsi="Times New Roman"/>
        </w:rPr>
        <w:t>- привлечение предприятий города к участию в выставочно-ярмарочной деятельности;</w:t>
      </w:r>
    </w:p>
    <w:p>
      <w:pPr>
        <w:pStyle w:val="style40"/>
      </w:pPr>
      <w:r>
        <w:rPr>
          <w:rFonts w:ascii="Times New Roman" w:hAnsi="Times New Roman"/>
        </w:rPr>
        <w:t>- вовлечение в размещение муниципального заказа местных товаропроизводителей для содействия обеспечению загрузки их производственных мощностей;</w:t>
      </w:r>
    </w:p>
    <w:p>
      <w:pPr>
        <w:pStyle w:val="style40"/>
      </w:pPr>
      <w:r>
        <w:rPr>
          <w:rFonts w:ascii="Times New Roman" w:hAnsi="Times New Roman"/>
        </w:rPr>
        <w:t>- создание благоприятных условий для эффективного развития субъектов малого и среднего предпринимательства</w:t>
      </w:r>
      <w:r>
        <w:rPr>
          <w:color w:val="1F497D"/>
          <w:rFonts w:ascii="Times New Roman" w:hAnsi="Times New Roman"/>
        </w:rPr>
        <w:t xml:space="preserve"> в промышленной сфере;</w:t>
      </w:r>
    </w:p>
    <w:p>
      <w:pPr>
        <w:pStyle w:val="style40"/>
      </w:pPr>
      <w:r>
        <w:rPr>
          <w:rFonts w:ascii="Times New Roman" w:hAnsi="Times New Roman"/>
        </w:rPr>
        <w:t>- повышения его роли малого и среднего предпринимательства</w:t>
      </w:r>
      <w:r>
        <w:rPr>
          <w:color w:val="1F497D"/>
          <w:rFonts w:ascii="Times New Roman" w:hAnsi="Times New Roman"/>
        </w:rPr>
        <w:t xml:space="preserve"> </w:t>
      </w:r>
      <w:r>
        <w:rPr>
          <w:rFonts w:ascii="Times New Roman" w:hAnsi="Times New Roman"/>
        </w:rPr>
        <w:t>в реализации социально-экономических задач на территории города, обеспечение занятости населения и развитие самозанятости;</w:t>
      </w:r>
    </w:p>
    <w:p>
      <w:pPr>
        <w:pStyle w:val="style40"/>
      </w:pPr>
      <w:r>
        <w:rPr>
          <w:rFonts w:ascii="Times New Roman" w:hAnsi="Times New Roman"/>
        </w:rPr>
        <w:t>- создание населению города комфортных условий для приобретения качественных и безопасных товаров, ориентированных на разные социальные группы потребителей, в первую очередь отечественного производства, в пределах территориальной доступности;</w:t>
      </w:r>
    </w:p>
    <w:p>
      <w:pPr>
        <w:pStyle w:val="style40"/>
      </w:pPr>
      <w:r>
        <w:rPr>
          <w:rFonts w:ascii="Times New Roman" w:hAnsi="Times New Roman"/>
        </w:rPr>
        <w:t>- реализация мероприятий по развитию материально-технической базы торговли и общественного питания, внедрение современных форм обслуживания, развитие сети общедоступных объектов, ориентированную на различные группы населения.</w:t>
      </w:r>
    </w:p>
    <w:p>
      <w:pPr>
        <w:pStyle w:val="style40"/>
      </w:pPr>
      <w:r>
        <w:rPr>
          <w:rFonts w:ascii="Times New Roman" w:hAnsi="Times New Roman"/>
        </w:rPr>
        <w:t>Достижение заявленных целей и решение поставленных задач подпрограммы «Развитие малого и среднего предпринимательства» будет осуществляться в рамках реализации следующих направлений:</w:t>
      </w:r>
    </w:p>
    <w:p>
      <w:pPr>
        <w:pStyle w:val="style36"/>
        <w:ind w:firstLine="708" w:left="0" w:right="0"/>
      </w:pPr>
      <w:bookmarkStart w:id="0" w:name="sub_621"/>
      <w:bookmarkEnd w:id="0"/>
      <w:r>
        <w:rPr/>
        <w:t>развитие субъектов малого и среднего предпринимательства в целях формирования конкурентной среды в экономике города;</w:t>
      </w:r>
    </w:p>
    <w:p>
      <w:pPr>
        <w:pStyle w:val="style36"/>
        <w:ind w:firstLine="708" w:left="0" w:right="0"/>
      </w:pPr>
      <w:bookmarkStart w:id="1" w:name="sub_621"/>
      <w:bookmarkStart w:id="2" w:name="sub_622"/>
      <w:bookmarkEnd w:id="1"/>
      <w:bookmarkEnd w:id="2"/>
      <w:r>
        <w:rPr/>
        <w:t>обеспечение благоприятных условий для развития субъектов малого и среднего предпринимательства;</w:t>
      </w:r>
    </w:p>
    <w:p>
      <w:pPr>
        <w:pStyle w:val="style36"/>
        <w:ind w:firstLine="708" w:left="0" w:right="0"/>
      </w:pPr>
      <w:bookmarkStart w:id="3" w:name="sub_622"/>
      <w:bookmarkStart w:id="4" w:name="sub_623"/>
      <w:bookmarkEnd w:id="3"/>
      <w:bookmarkEnd w:id="4"/>
      <w:r>
        <w:rPr/>
        <w:t>обеспечение конкурентоспособности субъектов малого и среднего предпринимательства;</w:t>
      </w:r>
    </w:p>
    <w:p>
      <w:pPr>
        <w:pStyle w:val="style36"/>
        <w:ind w:firstLine="708" w:left="0" w:right="0"/>
      </w:pPr>
      <w:bookmarkStart w:id="5" w:name="sub_623"/>
      <w:bookmarkStart w:id="6" w:name="sub_625"/>
      <w:bookmarkEnd w:id="5"/>
      <w:bookmarkEnd w:id="6"/>
      <w:r>
        <w:rPr/>
        <w:t>увеличение количества субъектов малого и среднего предпринимательства;</w:t>
      </w:r>
    </w:p>
    <w:p>
      <w:pPr>
        <w:pStyle w:val="style36"/>
        <w:ind w:firstLine="708" w:left="0" w:right="0"/>
      </w:pPr>
      <w:bookmarkStart w:id="7" w:name="sub_625"/>
      <w:bookmarkStart w:id="8" w:name="sub_626"/>
      <w:bookmarkEnd w:id="7"/>
      <w:bookmarkEnd w:id="8"/>
      <w:r>
        <w:rPr/>
        <w:t>обеспечение занятости населения и развитие самозанятости;</w:t>
      </w:r>
    </w:p>
    <w:p>
      <w:pPr>
        <w:pStyle w:val="style36"/>
        <w:ind w:firstLine="708" w:left="0" w:right="0"/>
      </w:pPr>
      <w:bookmarkStart w:id="9" w:name="sub_626"/>
      <w:bookmarkStart w:id="10" w:name="sub_628"/>
      <w:bookmarkStart w:id="11" w:name="sub_627"/>
      <w:bookmarkEnd w:id="9"/>
      <w:bookmarkEnd w:id="10"/>
      <w:bookmarkEnd w:id="11"/>
      <w:r>
        <w:rPr/>
        <w:t>увеличение доли уплаченных субъектами малого и среднего предпринимательства налогов в общей сумме собственных доходов местного бюджета;</w:t>
      </w:r>
    </w:p>
    <w:p>
      <w:pPr>
        <w:pStyle w:val="style35"/>
        <w:ind w:firstLine="708" w:left="0" w:right="0"/>
      </w:pPr>
      <w:r>
        <w:rPr/>
        <w:t xml:space="preserve">В рамках подпрограммы будут осуществляться мероприятия: </w:t>
      </w:r>
    </w:p>
    <w:p>
      <w:pPr>
        <w:pStyle w:val="style35"/>
        <w:ind w:firstLine="708" w:left="0" w:right="0"/>
      </w:pPr>
      <w:r>
        <w:rPr/>
        <w:t>финансовая поддержка субъектов малого и среднего предпринимательства;</w:t>
      </w:r>
    </w:p>
    <w:p>
      <w:pPr>
        <w:pStyle w:val="style35"/>
        <w:ind w:firstLine="708" w:left="0" w:right="0"/>
      </w:pPr>
      <w:r>
        <w:rPr/>
        <w:t>имущественная поддержка субъектов малого и среднего предпринимательства;</w:t>
      </w:r>
    </w:p>
    <w:p>
      <w:pPr>
        <w:pStyle w:val="style35"/>
        <w:ind w:firstLine="708" w:left="0" w:right="0"/>
      </w:pPr>
      <w:r>
        <w:rPr/>
        <w:t>совершенствование систем налогообложения малого и среднего предпринимательства;</w:t>
      </w:r>
    </w:p>
    <w:p>
      <w:pPr>
        <w:pStyle w:val="style35"/>
        <w:ind w:firstLine="708" w:left="0" w:right="0"/>
      </w:pPr>
      <w:r>
        <w:rPr/>
        <w:t>развитие системы информационной и консультационной поддержки субъектов малого и среднего предпринимательства, пропаганда и популяризация предпринимательской деятельности.</w:t>
      </w:r>
    </w:p>
    <w:p>
      <w:pPr>
        <w:pStyle w:val="style36"/>
      </w:pPr>
      <w:r>
        <w:rPr/>
        <w:tab/>
        <w:t>В рамках подпрограммы «Совершенствование муниципального управления» достижение целей и решение поставленных задач подпрограммы будет осуществляться в рамках реализации основных мероприятий, предполагающих реализацию системных мер по снижению административных барьеров и повышению доступности и качества государственных и муниципальных услуг.</w:t>
      </w:r>
    </w:p>
    <w:p>
      <w:pPr>
        <w:pStyle w:val="style29"/>
        <w:jc w:val="both"/>
        <w:ind w:firstLine="708" w:left="0" w:right="0"/>
      </w:pPr>
      <w:r>
        <w:rPr>
          <w:sz w:val="28"/>
        </w:rPr>
        <w:t>Перечень мероприятий с непосредственными результатами их реализации с разбивкой по годам реализации приведен в приложении N 2 к муниципальной программе.</w:t>
      </w:r>
    </w:p>
    <w:p>
      <w:pPr>
        <w:pStyle w:val="style35"/>
        <w:jc w:val="center"/>
      </w:pPr>
      <w:r>
        <w:rPr>
          <w:u w:val="single"/>
          <w:rFonts w:ascii="Times New Roman" w:hAnsi="Times New Roman"/>
        </w:rPr>
        <w:t xml:space="preserve">5. </w:t>
      </w:r>
      <w:r>
        <w:rPr>
          <w:u w:val="single"/>
        </w:rPr>
        <w:t>5. Прогноз сводных показателей муниципальных заданий в</w:t>
      </w:r>
    </w:p>
    <w:p>
      <w:pPr>
        <w:pStyle w:val="style35"/>
        <w:jc w:val="center"/>
      </w:pPr>
      <w:r>
        <w:rPr>
          <w:u w:val="single"/>
        </w:rPr>
        <w:t>рамках реализации подпрограммы</w:t>
      </w:r>
    </w:p>
    <w:p>
      <w:pPr>
        <w:pStyle w:val="style35"/>
      </w:pPr>
      <w:r>
        <w:rPr/>
      </w:r>
    </w:p>
    <w:p>
      <w:pPr>
        <w:pStyle w:val="style35"/>
        <w:ind w:firstLine="708" w:left="0" w:right="0"/>
      </w:pPr>
      <w:r>
        <w:rPr/>
        <w:t>В рамках подпрограммы «</w:t>
      </w:r>
      <w:r>
        <w:rPr>
          <w:bCs/>
        </w:rPr>
        <w:t>Совершенствование муниципального управления»</w:t>
      </w:r>
      <w:r>
        <w:rPr/>
        <w:t xml:space="preserve"> предусматривается оказание муниципальных услуг </w:t>
      </w:r>
      <w:r>
        <w:rPr>
          <w:rFonts w:ascii="Times New Roman" w:cs="Times New Roman" w:hAnsi="Times New Roman"/>
        </w:rPr>
        <w:t xml:space="preserve">МКУ «Рассказовский МФЦ предоставления </w:t>
      </w:r>
      <w:r>
        <w:rPr>
          <w:szCs w:val="24"/>
          <w:rFonts w:ascii="Times New Roman" w:cs="Times New Roman" w:hAnsi="Times New Roman"/>
        </w:rPr>
        <w:t>услуг населению»</w:t>
      </w:r>
      <w:r>
        <w:rPr/>
        <w:t xml:space="preserve"> по организации и обеспечению деятельности единого места приема, регистрации и выдачи необходимых документов гражданам и юридическим лицам при предоставлении государственных и муниципальных услуг.</w:t>
      </w:r>
    </w:p>
    <w:p>
      <w:pPr>
        <w:pStyle w:val="style35"/>
        <w:ind w:firstLine="708" w:left="0" w:right="0"/>
      </w:pPr>
      <w:r>
        <w:rPr/>
        <w:t>Прогноз показателей муниципального задания по годам реализации с необходимым объемом финансирования будет утвержден позже при непосредственном создании МФЦ и организации его деятельности</w:t>
      </w:r>
    </w:p>
    <w:p>
      <w:pPr>
        <w:pStyle w:val="style40"/>
        <w:jc w:val="center"/>
      </w:pPr>
      <w:r>
        <w:rPr>
          <w:u w:val="single"/>
          <w:rFonts w:ascii="Times New Roman" w:hAnsi="Times New Roman"/>
        </w:rPr>
      </w:r>
    </w:p>
    <w:p>
      <w:pPr>
        <w:pStyle w:val="style40"/>
        <w:jc w:val="center"/>
      </w:pPr>
      <w:r>
        <w:rPr>
          <w:u w:val="single"/>
          <w:rFonts w:ascii="Times New Roman" w:hAnsi="Times New Roman"/>
        </w:rPr>
        <w:t>6.Обоснование объема финансовых ресурсов, необходимых для реализации муниципальной  программы</w:t>
      </w:r>
    </w:p>
    <w:p>
      <w:pPr>
        <w:pStyle w:val="style40"/>
      </w:pPr>
      <w:r>
        <w:rPr>
          <w:rFonts w:ascii="Times New Roman" w:hAnsi="Times New Roman"/>
        </w:rPr>
      </w:r>
    </w:p>
    <w:p>
      <w:pPr>
        <w:pStyle w:val="style40"/>
      </w:pPr>
      <w:r>
        <w:rPr>
          <w:rFonts w:ascii="Times New Roman" w:hAnsi="Times New Roman"/>
        </w:rPr>
        <w:t>Финансовое обеспечение реализации муниципальной программы осуществляется за счет средств областного, местного бюджетов и внебюджетных источников.</w:t>
      </w:r>
    </w:p>
    <w:p>
      <w:pPr>
        <w:pStyle w:val="style40"/>
      </w:pPr>
      <w:r>
        <w:rPr>
          <w:rFonts w:ascii="Times New Roman" w:hAnsi="Times New Roman"/>
        </w:rPr>
        <w:t>Распределение бюджетных ассигнований на реализацию муниципальной программы утверждается законом Тамбовской области об областном бюджете на очередной финансовый год и на плановый период, а также решением городского Совета народных депутатов бюджете города Рассказово на очередной финансовый год и на плановый период.</w:t>
      </w:r>
    </w:p>
    <w:p>
      <w:pPr>
        <w:pStyle w:val="style36"/>
        <w:ind w:firstLine="708" w:left="0" w:right="0"/>
      </w:pPr>
      <w:r>
        <w:rPr/>
        <w:t>Общий объём финансирования программы за счёт всех источников финансирования на весь период реализации составляет –  33760 тыс. рублей.</w:t>
      </w:r>
    </w:p>
    <w:p>
      <w:pPr>
        <w:pStyle w:val="style40"/>
      </w:pPr>
      <w:r>
        <w:rPr>
          <w:rFonts w:ascii="Times New Roman" w:hAnsi="Times New Roman"/>
        </w:rPr>
        <w:t>Объем финансирования муниципальной программы за счет средств областного бюджета составляет 21590 тыс. рублей (64 %), местного бюджета - 10010 тыс. рублей (30%).</w:t>
      </w:r>
    </w:p>
    <w:p>
      <w:pPr>
        <w:pStyle w:val="style40"/>
      </w:pPr>
      <w:r>
        <w:rPr>
          <w:rFonts w:ascii="Times New Roman" w:hAnsi="Times New Roman"/>
        </w:rPr>
        <w:t>Объемы бюджетных ассигнований из областного и местного бюджета уточняются ежегодно при формировании бюджета на очередной финансовый год и на плановый период.</w:t>
      </w:r>
    </w:p>
    <w:p>
      <w:pPr>
        <w:pStyle w:val="style40"/>
      </w:pPr>
      <w:r>
        <w:rPr>
          <w:rFonts w:ascii="Times New Roman" w:hAnsi="Times New Roman"/>
        </w:rPr>
        <w:t>Планируется финансирование муниципальной программы из внебюджетных источников в объеме 2100 тыс. рублей (6 %): за счет средств хозяйствующих субъектов, привлекаемых в рамках организации выставок и ярмарок.</w:t>
      </w:r>
    </w:p>
    <w:p>
      <w:pPr>
        <w:pStyle w:val="style40"/>
      </w:pPr>
      <w:r>
        <w:rPr>
          <w:rFonts w:ascii="Times New Roman" w:hAnsi="Times New Roman"/>
        </w:rPr>
        <w:t>Более подробная информация по ресурсному обеспечению реализации мероприятий муниципальной программы и прогнозной оценке на период до 2020 года в разрезе источников финансирования и периодов реализации представлена в приложении N 3.</w:t>
      </w:r>
    </w:p>
    <w:p>
      <w:pPr>
        <w:pStyle w:val="style36"/>
        <w:jc w:val="center"/>
      </w:pPr>
      <w:r>
        <w:rPr>
          <w:u w:val="single"/>
        </w:rPr>
      </w:r>
    </w:p>
    <w:p>
      <w:pPr>
        <w:pStyle w:val="style36"/>
        <w:jc w:val="center"/>
      </w:pPr>
      <w:r>
        <w:rPr>
          <w:u w:val="single"/>
        </w:rPr>
        <w:t>7. Механизмы реализации муниципальной программы</w:t>
      </w:r>
    </w:p>
    <w:p>
      <w:pPr>
        <w:pStyle w:val="style36"/>
      </w:pPr>
      <w:r>
        <w:rPr/>
      </w:r>
    </w:p>
    <w:p>
      <w:pPr>
        <w:pStyle w:val="style36"/>
        <w:ind w:firstLine="708" w:left="0" w:right="0"/>
      </w:pPr>
      <w:r>
        <w:rPr/>
        <w:t xml:space="preserve">Реализация муниципальной программы осуществляется во взаимодействии разработчика (ответственного исполнителя) с соисполнителями в </w:t>
      </w:r>
      <w:hyperlink r:id="rId2">
        <w:r>
          <w:rPr>
            <w:rStyle w:val="style27"/>
          </w:rPr>
          <w:t>порядке</w:t>
        </w:r>
      </w:hyperlink>
      <w:r>
        <w:rPr/>
        <w:t>, установленном Постановлением администрации города от 04.10.2013 N 1756 «Об утверждении Порядка разработки, утверждения и реализации муниципальных программ города Рассказово».</w:t>
      </w:r>
    </w:p>
    <w:p>
      <w:pPr>
        <w:pStyle w:val="style36"/>
        <w:ind w:firstLine="708" w:left="0" w:right="0"/>
      </w:pPr>
      <w:r>
        <w:rPr/>
        <w:t>Разработчиком программы является отдел по экономике, предпринимательству и социально-трудовым отношениям администрации города.</w:t>
      </w:r>
    </w:p>
    <w:p>
      <w:pPr>
        <w:pStyle w:val="style36"/>
        <w:ind w:firstLine="708" w:left="0" w:right="0"/>
      </w:pPr>
      <w:r>
        <w:rPr/>
        <w:t>Соисполнителями являются:</w:t>
      </w:r>
    </w:p>
    <w:p>
      <w:pPr>
        <w:pStyle w:val="style36"/>
        <w:ind w:firstLine="708" w:left="0" w:right="0"/>
      </w:pPr>
      <w:r>
        <w:rPr>
          <w:lang w:eastAsia="ru-RU"/>
        </w:rPr>
        <w:t>отдел по управлению муниципальным имуществом администрации города;</w:t>
      </w:r>
    </w:p>
    <w:p>
      <w:pPr>
        <w:pStyle w:val="style36"/>
        <w:ind w:firstLine="708" w:left="0" w:right="0"/>
      </w:pPr>
      <w:r>
        <w:rPr>
          <w:lang w:eastAsia="ru-RU"/>
        </w:rPr>
        <w:t>отдел развития потребительского рынка и защиты прав потребителей администрации города;</w:t>
      </w:r>
    </w:p>
    <w:p>
      <w:pPr>
        <w:pStyle w:val="style36"/>
        <w:ind w:firstLine="708" w:left="0" w:right="0"/>
      </w:pPr>
      <w:r>
        <w:rPr>
          <w:lang w:eastAsia="ru-RU"/>
        </w:rPr>
        <w:t>отдел муниципального заказа администрации города.</w:t>
      </w:r>
    </w:p>
    <w:p>
      <w:pPr>
        <w:pStyle w:val="style36"/>
      </w:pPr>
      <w:r>
        <w:rPr/>
        <w:t>Муниципальной программа предусматривает персональную ответственность исполнителей за реализацию закрепленных за ними мероприятий.</w:t>
      </w:r>
    </w:p>
    <w:p>
      <w:pPr>
        <w:pStyle w:val="style36"/>
        <w:ind w:firstLine="708" w:left="0" w:right="0"/>
      </w:pPr>
      <w:r>
        <w:rPr/>
        <w:t>Для единого подхода к выполнению всего комплекса мероприятий муниципальной программы, целенаправленного и эффективного расходования финансовых средств, выделенных на ее реализацию, обеспечивается четкое взаимодействие между всеми соисполнителями муниципальной программы.</w:t>
      </w:r>
    </w:p>
    <w:p>
      <w:pPr>
        <w:pStyle w:val="style36"/>
        <w:ind w:firstLine="708" w:left="0" w:right="0"/>
      </w:pPr>
      <w:r>
        <w:rPr/>
        <w:t>Разработчик:</w:t>
      </w:r>
    </w:p>
    <w:p>
      <w:pPr>
        <w:pStyle w:val="style36"/>
        <w:ind w:firstLine="708" w:left="0" w:right="0"/>
      </w:pPr>
      <w:r>
        <w:rPr/>
        <w:t>организует реализацию муниципальной программы, вносит предложение о внесении в нее изменений и несет ответственность за достижение показателей (индикаторов) муниципальной программы в целом, а также конечных результатов ее реализации;</w:t>
      </w:r>
    </w:p>
    <w:p>
      <w:pPr>
        <w:pStyle w:val="style36"/>
        <w:ind w:firstLine="708" w:left="0" w:right="0"/>
      </w:pPr>
      <w:r>
        <w:rPr/>
        <w:t>запрашивает у соисполнителей сведения, необходимые для проведения мониторинга и подготовки полугодового и годового отчетов о ходе реализации муниципальной программы (далее - отчеты);</w:t>
      </w:r>
    </w:p>
    <w:p>
      <w:pPr>
        <w:pStyle w:val="style36"/>
        <w:ind w:firstLine="708" w:left="0" w:right="0"/>
      </w:pPr>
      <w:r>
        <w:rPr/>
        <w:t>готовит отчеты.</w:t>
      </w:r>
    </w:p>
    <w:p>
      <w:pPr>
        <w:pStyle w:val="style36"/>
        <w:ind w:firstLine="708" w:left="0" w:right="0"/>
      </w:pPr>
      <w:r>
        <w:rPr/>
        <w:t>Соисполнители:</w:t>
      </w:r>
    </w:p>
    <w:p>
      <w:pPr>
        <w:pStyle w:val="style36"/>
        <w:ind w:firstLine="708" w:left="0" w:right="0"/>
      </w:pPr>
      <w:r>
        <w:rPr/>
        <w:t>организуют реализацию соответствующей подпрограммы, осуществляют реализацию основных мероприятий, в отношении которых они являются соисполнителями, вносят ответственному исполнителю предложения о необходимости внесения изменений в муниципальную программу;</w:t>
      </w:r>
    </w:p>
    <w:p>
      <w:pPr>
        <w:pStyle w:val="style36"/>
        <w:ind w:firstLine="708" w:left="0" w:right="0"/>
      </w:pPr>
      <w:r>
        <w:rPr/>
        <w:t>несут ответственность за достижение показателей (индикаторов) соответствующей подпрограммы;</w:t>
      </w:r>
    </w:p>
    <w:p>
      <w:pPr>
        <w:pStyle w:val="style36"/>
        <w:ind w:firstLine="708" w:left="0" w:right="0"/>
      </w:pPr>
      <w:r>
        <w:rPr/>
        <w:t>представляют ответственному исполнителю сведения, необходимые для проведения мониторинга (за полугодие и за год в определенные постановление администрации № 1756) и подготовки отчетов;</w:t>
      </w:r>
    </w:p>
    <w:p>
      <w:pPr>
        <w:pStyle w:val="style36"/>
        <w:ind w:firstLine="708" w:left="0" w:right="0"/>
      </w:pPr>
      <w:r>
        <w:rPr/>
        <w:t>представляют ответственному исполнителю оперативную информацию, необходимую для подготовки отчетов и анализа реализации муниципальной программы.</w:t>
      </w:r>
    </w:p>
    <w:p>
      <w:pPr>
        <w:pStyle w:val="style36"/>
        <w:ind w:firstLine="708" w:left="0" w:right="0"/>
      </w:pPr>
      <w:r>
        <w:rPr/>
        <w:t>Внесение изменений в муниципальную программу осуществляется по инициативе ответственного исполнителя либо во исполнение поручений администрации города, в том числе с учетом результатов оценки эффективности реализации муниципальной программы.</w:t>
      </w:r>
    </w:p>
    <w:p>
      <w:pPr>
        <w:pStyle w:val="style36"/>
        <w:ind w:firstLine="708" w:left="0" w:right="0"/>
      </w:pPr>
      <w:r>
        <w:rPr/>
        <w:t>Разработчик размещает на официальном сайте в информационно-коммуникационной сети «Интернет» информацию о ходе реализации муниципальной программы, достижении значений показателей (индикаторов) государственной программы, степени выполнения мероприятий муниципальной программы.</w:t>
      </w:r>
    </w:p>
    <w:p>
      <w:pPr>
        <w:pStyle w:val="style36"/>
        <w:ind w:firstLine="708" w:left="0" w:right="0"/>
      </w:pPr>
      <w:r>
        <w:rPr/>
      </w:r>
    </w:p>
    <w:p>
      <w:pPr>
        <w:pStyle w:val="style36"/>
        <w:ind w:firstLine="708" w:left="0" w:right="0"/>
      </w:pPr>
      <w:r>
        <w:rPr/>
      </w:r>
    </w:p>
    <w:sectPr>
      <w:formProt w:val="off"/>
      <w:pgSz w:h="16837" w:w="11905"/>
      <w:textDirection w:val="lrTb"/>
      <w:pgNumType w:fmt="decimal"/>
      <w:type w:val="nextPage"/>
      <w:pgMar w:bottom="1134" w:left="1701" w:right="850" w:top="708"/>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auto"/>
    <w:pitch w:val="default"/>
  </w:font>
</w:fonts>
</file>

<file path=word/numbering.xml><?xml version="1.0" encoding="utf-8"?>
<w:numbering xmlns:w="http://schemas.openxmlformats.org/wordprocessingml/2006/main">
  <w:abstractNum w:abstractNumId="1">
    <w:lvl w:ilvl="0">
      <w:start w:val="1"/>
      <w:numFmt w:val="none"/>
      <w:lvlJc w:val="left"/>
      <w:lvlText w:val=""/>
      <w:pPr>
        <w:ind w:hanging="432" w:left="432"/>
      </w:pPr>
    </w:lvl>
    <w:lvl w:ilvl="1">
      <w:start w:val="1"/>
      <w:numFmt w:val="none"/>
      <w:lvlJc w:val="left"/>
      <w:lvlText w:val=""/>
      <w:pPr>
        <w:ind w:hanging="576" w:left="576"/>
      </w:pPr>
    </w:lvl>
    <w:lvl w:ilvl="2">
      <w:start w:val="1"/>
      <w:numFmt w:val="none"/>
      <w:lvlJc w:val="left"/>
      <w:lvlText w:val=""/>
      <w:pPr>
        <w:ind w:hanging="720" w:left="720"/>
      </w:pPr>
    </w:lvl>
    <w:lvl w:ilvl="3">
      <w:start w:val="1"/>
      <w:numFmt w:val="none"/>
      <w:lvlJc w:val="left"/>
      <w:lvlText w:val=""/>
      <w:pPr>
        <w:ind w:hanging="864" w:left="864"/>
      </w:pPr>
    </w:lvl>
    <w:lvl w:ilvl="4">
      <w:start w:val="1"/>
      <w:numFmt w:val="none"/>
      <w:lvlJc w:val="left"/>
      <w:lvlText w:val=""/>
      <w:pPr>
        <w:ind w:hanging="1008" w:left="1008"/>
      </w:pPr>
    </w:lvl>
    <w:lvl w:ilvl="5">
      <w:start w:val="1"/>
      <w:numFmt w:val="none"/>
      <w:lvlJc w:val="left"/>
      <w:lvlText w:val=""/>
      <w:pPr>
        <w:ind w:hanging="1152" w:left="1152"/>
      </w:pPr>
    </w:lvl>
    <w:lvl w:ilvl="6">
      <w:start w:val="1"/>
      <w:numFmt w:val="none"/>
      <w:lvlJc w:val="left"/>
      <w:lvlText w:val=""/>
      <w:pPr>
        <w:ind w:hanging="1296" w:left="1296"/>
      </w:pPr>
    </w:lvl>
    <w:lvl w:ilvl="7">
      <w:start w:val="1"/>
      <w:numFmt w:val="none"/>
      <w:lvlJc w:val="left"/>
      <w:lvlText w:val=""/>
      <w:pPr>
        <w:ind w:hanging="1440" w:left="1440"/>
      </w:pPr>
    </w:lvl>
    <w:lvl w:ilvl="8">
      <w:start w:val="1"/>
      <w:numFmt w:val="none"/>
      <w:lvlJc w:val="left"/>
      <w:lvlText w:val=""/>
      <w:pPr>
        <w:ind w:hanging="1584" w:left="1584"/>
      </w:pPr>
    </w:lvl>
  </w:abstractNum>
  <w:abstractNum w:abstractNumId="2">
    <w:lvl w:ilvl="0">
      <w:start w:val="2020"/>
      <w:numFmt w:val="decimal"/>
      <w:lvlJc w:val="left"/>
      <w:lvlText w:val="%1"/>
      <w:pPr>
        <w:ind w:hanging="480" w:left="1540"/>
      </w:pPr>
      <w:rPr>
        <w:sz w:val="24"/>
      </w:rPr>
    </w:lvl>
    <w:lvl w:ilvl="1">
      <w:start w:val="1"/>
      <w:numFmt w:val="lowerLetter"/>
      <w:lvlJc w:val="left"/>
      <w:lvlText w:val="%2."/>
      <w:pPr>
        <w:ind w:hanging="360" w:left="2140"/>
      </w:pPr>
    </w:lvl>
    <w:lvl w:ilvl="2">
      <w:start w:val="1"/>
      <w:numFmt w:val="lowerRoman"/>
      <w:lvlJc w:val="right"/>
      <w:lvlText w:val="%3."/>
      <w:pPr>
        <w:ind w:hanging="180" w:left="2860"/>
      </w:pPr>
    </w:lvl>
    <w:lvl w:ilvl="3">
      <w:start w:val="1"/>
      <w:numFmt w:val="decimal"/>
      <w:lvlJc w:val="left"/>
      <w:lvlText w:val="%4."/>
      <w:pPr>
        <w:ind w:hanging="360" w:left="3580"/>
      </w:pPr>
    </w:lvl>
    <w:lvl w:ilvl="4">
      <w:start w:val="1"/>
      <w:numFmt w:val="lowerLetter"/>
      <w:lvlJc w:val="left"/>
      <w:lvlText w:val="%5."/>
      <w:pPr>
        <w:ind w:hanging="360" w:left="4300"/>
      </w:pPr>
    </w:lvl>
    <w:lvl w:ilvl="5">
      <w:start w:val="1"/>
      <w:numFmt w:val="lowerRoman"/>
      <w:lvlJc w:val="right"/>
      <w:lvlText w:val="%6."/>
      <w:pPr>
        <w:ind w:hanging="180" w:left="5020"/>
      </w:pPr>
    </w:lvl>
    <w:lvl w:ilvl="6">
      <w:start w:val="1"/>
      <w:numFmt w:val="decimal"/>
      <w:lvlJc w:val="left"/>
      <w:lvlText w:val="%7."/>
      <w:pPr>
        <w:ind w:hanging="360" w:left="5740"/>
      </w:pPr>
    </w:lvl>
    <w:lvl w:ilvl="7">
      <w:start w:val="1"/>
      <w:numFmt w:val="lowerLetter"/>
      <w:lvlJc w:val="left"/>
      <w:lvlText w:val="%8."/>
      <w:pPr>
        <w:ind w:hanging="360" w:left="6460"/>
      </w:pPr>
    </w:lvl>
    <w:lvl w:ilvl="8">
      <w:start w:val="1"/>
      <w:numFmt w:val="lowerRoman"/>
      <w:lvlJc w:val="right"/>
      <w:lvlText w:val="%9."/>
      <w:pPr>
        <w:ind w:hanging="180" w:left="7180"/>
      </w:pPr>
    </w:lvl>
  </w:abstractNum>
  <w:num w:numId="1">
    <w:abstractNumId w:val="1"/>
  </w:num>
  <w:num w:numId="2">
    <w:abstractNumId w:val="2"/>
  </w:num>
</w:numbering>
</file>

<file path=word/styles.xml><?xml version="1.0" encoding="utf-8"?>
<w:styles xmlns:w="http://schemas.openxmlformats.org/wordprocessingml/2006/main">
  <w:style w:styleId="style0" w:type="paragraph">
    <w:name w:val="Базовый"/>
    <w:next w:val="style0"/>
    <w:pPr>
      <w:jc w:val="left"/>
      <w:widowControl/>
      <w:tabs>
        <w:tab w:leader="none" w:pos="709" w:val="left"/>
      </w:tabs>
      <w:suppressAutoHyphens w:val="true"/>
      <w:spacing w:after="200" w:before="0" w:line="276" w:lineRule="atLeast"/>
    </w:pPr>
    <w:rPr>
      <w:color w:val="auto"/>
      <w:sz w:val="22"/>
      <w:szCs w:val="22"/>
      <w:rFonts w:ascii="Calibri" w:cs="" w:eastAsia="Lucida Sans Unicode" w:hAnsi="Calibri"/>
      <w:lang w:bidi="ar-SA" w:eastAsia="ru-RU" w:val="ru-RU"/>
    </w:rPr>
  </w:style>
  <w:style w:styleId="style2" w:type="paragraph">
    <w:name w:val="Заголовок 2"/>
    <w:basedOn w:val="style0"/>
    <w:next w:val="style29"/>
    <w:pPr>
      <w:outlineLvl w:val="1"/>
      <w:numPr>
        <w:ilvl w:val="1"/>
        <w:numId w:val="1"/>
      </w:numPr>
      <w:keepNext/>
      <w:spacing w:after="60" w:before="240" w:line="100" w:lineRule="atLeast"/>
    </w:pPr>
    <w:rPr>
      <w:sz w:val="28"/>
      <w:i/>
      <w:b/>
      <w:szCs w:val="28"/>
      <w:iCs/>
      <w:bCs/>
      <w:rFonts w:ascii="Arial" w:cs="Arial" w:eastAsia="Times New Roman" w:hAnsi="Arial"/>
    </w:rPr>
  </w:style>
  <w:style w:styleId="style3" w:type="paragraph">
    <w:name w:val="Заголовок 3"/>
    <w:basedOn w:val="style0"/>
    <w:next w:val="style29"/>
    <w:pPr>
      <w:outlineLvl w:val="2"/>
      <w:numPr>
        <w:ilvl w:val="2"/>
        <w:numId w:val="1"/>
      </w:numPr>
      <w:keepNext/>
      <w:spacing w:after="60" w:before="240" w:line="100" w:lineRule="atLeast"/>
    </w:pPr>
    <w:rPr>
      <w:sz w:val="26"/>
      <w:b/>
      <w:szCs w:val="26"/>
      <w:bCs/>
      <w:rFonts w:ascii="Arial" w:cs="Arial" w:eastAsia="Times New Roman" w:hAnsi="Arial"/>
    </w:rPr>
  </w:style>
  <w:style w:styleId="style15" w:type="character">
    <w:name w:val="ListLabel 1"/>
    <w:next w:val="style15"/>
    <w:rPr>
      <w:sz w:val="24"/>
    </w:rPr>
  </w:style>
  <w:style w:styleId="style16" w:type="character">
    <w:name w:val="ListLabel 2"/>
    <w:next w:val="style16"/>
    <w:rPr>
      <w:rFonts w:cs="Courier New"/>
    </w:rPr>
  </w:style>
  <w:style w:styleId="style17" w:type="character">
    <w:name w:val="Default Paragraph Font"/>
    <w:next w:val="style17"/>
    <w:rPr/>
  </w:style>
  <w:style w:styleId="style18" w:type="character">
    <w:name w:val="Основной шрифт абзаца1"/>
    <w:next w:val="style18"/>
    <w:rPr/>
  </w:style>
  <w:style w:styleId="style19" w:type="character">
    <w:name w:val="Заголовок 3 Знак"/>
    <w:basedOn w:val="style17"/>
    <w:next w:val="style19"/>
    <w:rPr/>
  </w:style>
  <w:style w:styleId="style20" w:type="character">
    <w:name w:val="Заголовок 2 Знак"/>
    <w:basedOn w:val="style17"/>
    <w:next w:val="style20"/>
    <w:rPr/>
  </w:style>
  <w:style w:styleId="style21" w:type="character">
    <w:name w:val="Основной текст Знак"/>
    <w:basedOn w:val="style17"/>
    <w:next w:val="style21"/>
    <w:rPr/>
  </w:style>
  <w:style w:styleId="style22" w:type="character">
    <w:name w:val="Основной текст 3 Знак"/>
    <w:basedOn w:val="style17"/>
    <w:next w:val="style22"/>
    <w:rPr/>
  </w:style>
  <w:style w:styleId="style23" w:type="character">
    <w:name w:val="Абзац Знак"/>
    <w:basedOn w:val="style17"/>
    <w:next w:val="style23"/>
    <w:rPr/>
  </w:style>
  <w:style w:styleId="style24" w:type="character">
    <w:name w:val="Основной шрифт абзаца4"/>
    <w:next w:val="style24"/>
    <w:rPr/>
  </w:style>
  <w:style w:styleId="style25" w:type="character">
    <w:name w:val="Верхний колонтитул Знак"/>
    <w:basedOn w:val="style17"/>
    <w:next w:val="style25"/>
    <w:rPr/>
  </w:style>
  <w:style w:styleId="style26" w:type="character">
    <w:name w:val="Нижний колонтитул Знак"/>
    <w:basedOn w:val="style17"/>
    <w:next w:val="style26"/>
    <w:rPr/>
  </w:style>
  <w:style w:styleId="style27" w:type="character">
    <w:name w:val="Интернет-ссылка"/>
    <w:next w:val="style27"/>
    <w:rPr>
      <w:color w:val="000080"/>
      <w:u w:val="single"/>
      <w:lang w:bidi="ru-RU" w:eastAsia="ru-RU" w:val="ru-RU"/>
    </w:rPr>
  </w:style>
  <w:style w:styleId="style28" w:type="paragraph">
    <w:name w:val="Заголовок"/>
    <w:basedOn w:val="style0"/>
    <w:next w:val="style29"/>
    <w:pPr>
      <w:keepNext/>
      <w:spacing w:after="120" w:before="240"/>
    </w:pPr>
    <w:rPr>
      <w:sz w:val="28"/>
      <w:szCs w:val="28"/>
      <w:rFonts w:ascii="Arial" w:cs="Tahoma" w:eastAsia="Lucida Sans Unicode" w:hAnsi="Arial"/>
    </w:rPr>
  </w:style>
  <w:style w:styleId="style29" w:type="paragraph">
    <w:name w:val="Основной текст"/>
    <w:basedOn w:val="style0"/>
    <w:next w:val="style29"/>
    <w:pPr>
      <w:suppressAutoHyphens w:val="true"/>
      <w:spacing w:after="120" w:before="0" w:line="100" w:lineRule="atLeast"/>
    </w:pPr>
    <w:rPr>
      <w:sz w:val="24"/>
      <w:szCs w:val="20"/>
      <w:rFonts w:ascii="Times New Roman" w:cs="Times New Roman" w:eastAsia="Times New Roman" w:hAnsi="Times New Roman"/>
      <w:lang w:eastAsia="ar-SA"/>
    </w:rPr>
  </w:style>
  <w:style w:styleId="style30" w:type="paragraph">
    <w:name w:val="Список"/>
    <w:basedOn w:val="style29"/>
    <w:next w:val="style30"/>
    <w:pPr/>
    <w:rPr>
      <w:rFonts w:ascii="Arial" w:cs="Tahoma" w:hAnsi="Arial"/>
    </w:rPr>
  </w:style>
  <w:style w:styleId="style31" w:type="paragraph">
    <w:name w:val="Название"/>
    <w:basedOn w:val="style0"/>
    <w:next w:val="style31"/>
    <w:pPr>
      <w:suppressLineNumbers/>
      <w:spacing w:after="120" w:before="120"/>
    </w:pPr>
    <w:rPr>
      <w:sz w:val="20"/>
      <w:i/>
      <w:szCs w:val="24"/>
      <w:iCs/>
      <w:rFonts w:ascii="Arial" w:cs="Tahoma" w:hAnsi="Arial"/>
    </w:rPr>
  </w:style>
  <w:style w:styleId="style32" w:type="paragraph">
    <w:name w:val="Указатель"/>
    <w:basedOn w:val="style0"/>
    <w:next w:val="style32"/>
    <w:pPr>
      <w:suppressLineNumbers/>
    </w:pPr>
    <w:rPr>
      <w:rFonts w:ascii="Arial" w:cs="Tahoma" w:hAnsi="Arial"/>
    </w:rPr>
  </w:style>
  <w:style w:styleId="style33" w:type="paragraph">
    <w:name w:val="Обычный1"/>
    <w:next w:val="style33"/>
    <w:pPr>
      <w:widowControl w:val="off"/>
      <w:tabs>
        <w:tab w:leader="none" w:pos="709" w:val="left"/>
      </w:tabs>
      <w:suppressAutoHyphens w:val="true"/>
      <w:spacing w:after="200" w:before="0" w:line="276" w:lineRule="atLeast"/>
    </w:pPr>
    <w:rPr>
      <w:color w:val="auto"/>
      <w:sz w:val="22"/>
      <w:szCs w:val="22"/>
      <w:rFonts w:ascii="Calibri" w:cs="" w:eastAsia="Lucida Sans Unicode" w:hAnsi="Calibri"/>
      <w:lang w:bidi="ar-SA" w:eastAsia="ru-RU" w:val="ru-RU"/>
    </w:rPr>
  </w:style>
  <w:style w:styleId="style34" w:type="paragraph">
    <w:name w:val="Normal (Web)"/>
    <w:basedOn w:val="style0"/>
    <w:next w:val="style34"/>
    <w:pPr/>
    <w:rPr/>
  </w:style>
  <w:style w:styleId="style35" w:type="paragraph">
    <w:name w:val="No Spacing"/>
    <w:next w:val="style35"/>
    <w:pPr>
      <w:widowControl w:val="off"/>
      <w:tabs>
        <w:tab w:leader="none" w:pos="709" w:val="left"/>
      </w:tabs>
      <w:suppressAutoHyphens w:val="true"/>
      <w:spacing w:after="200" w:before="0" w:line="276" w:lineRule="atLeast"/>
    </w:pPr>
    <w:rPr>
      <w:color w:val="auto"/>
      <w:sz w:val="22"/>
      <w:szCs w:val="22"/>
      <w:rFonts w:ascii="Calibri" w:cs="" w:eastAsia="Lucida Sans Unicode" w:hAnsi="Calibri"/>
      <w:lang w:bidi="ar-SA" w:eastAsia="ru-RU" w:val="ru-RU"/>
    </w:rPr>
  </w:style>
  <w:style w:styleId="style36" w:type="paragraph">
    <w:name w:val="Ст. без интервала"/>
    <w:basedOn w:val="style35"/>
    <w:next w:val="style36"/>
    <w:pPr/>
    <w:rPr/>
  </w:style>
  <w:style w:styleId="style37" w:type="paragraph">
    <w:name w:val="Знак Знак Знак Знак"/>
    <w:basedOn w:val="style0"/>
    <w:next w:val="style37"/>
    <w:pPr/>
    <w:rPr/>
  </w:style>
  <w:style w:styleId="style38" w:type="paragraph">
    <w:name w:val="Default"/>
    <w:next w:val="style38"/>
    <w:pPr>
      <w:widowControl w:val="off"/>
      <w:tabs>
        <w:tab w:leader="none" w:pos="709" w:val="left"/>
      </w:tabs>
      <w:suppressAutoHyphens w:val="true"/>
      <w:spacing w:after="200" w:before="0" w:line="276" w:lineRule="atLeast"/>
    </w:pPr>
    <w:rPr>
      <w:color w:val="auto"/>
      <w:sz w:val="22"/>
      <w:szCs w:val="22"/>
      <w:rFonts w:ascii="Calibri" w:cs="" w:eastAsia="Lucida Sans Unicode" w:hAnsi="Calibri"/>
      <w:lang w:bidi="ar-SA" w:eastAsia="ru-RU" w:val="ru-RU"/>
    </w:rPr>
  </w:style>
  <w:style w:styleId="style39" w:type="paragraph">
    <w:name w:val="ConsNormal"/>
    <w:next w:val="style39"/>
    <w:pPr>
      <w:widowControl w:val="off"/>
      <w:tabs>
        <w:tab w:leader="none" w:pos="709" w:val="left"/>
      </w:tabs>
      <w:suppressAutoHyphens w:val="true"/>
      <w:spacing w:after="200" w:before="0" w:line="276" w:lineRule="atLeast"/>
    </w:pPr>
    <w:rPr>
      <w:color w:val="auto"/>
      <w:sz w:val="22"/>
      <w:szCs w:val="22"/>
      <w:rFonts w:ascii="Calibri" w:cs="" w:eastAsia="Lucida Sans Unicode" w:hAnsi="Calibri"/>
      <w:lang w:bidi="ar-SA" w:eastAsia="ru-RU" w:val="ru-RU"/>
    </w:rPr>
  </w:style>
  <w:style w:styleId="style40" w:type="paragraph">
    <w:name w:val="Основной текст 21"/>
    <w:basedOn w:val="style0"/>
    <w:next w:val="style40"/>
    <w:pPr/>
    <w:rPr/>
  </w:style>
  <w:style w:styleId="style41" w:type="paragraph">
    <w:name w:val="Body Text 3"/>
    <w:basedOn w:val="style0"/>
    <w:next w:val="style41"/>
    <w:pPr/>
    <w:rPr/>
  </w:style>
  <w:style w:styleId="style42" w:type="paragraph">
    <w:name w:val="List Paragraph"/>
    <w:basedOn w:val="style0"/>
    <w:next w:val="style42"/>
    <w:pPr/>
    <w:rPr/>
  </w:style>
  <w:style w:styleId="style43" w:type="paragraph">
    <w:name w:val="Обычный2"/>
    <w:next w:val="style43"/>
    <w:pPr>
      <w:widowControl w:val="off"/>
      <w:tabs>
        <w:tab w:leader="none" w:pos="709" w:val="left"/>
      </w:tabs>
      <w:suppressAutoHyphens w:val="true"/>
      <w:spacing w:after="200" w:before="0" w:line="276" w:lineRule="atLeast"/>
    </w:pPr>
    <w:rPr>
      <w:color w:val="auto"/>
      <w:sz w:val="22"/>
      <w:szCs w:val="22"/>
      <w:rFonts w:ascii="Calibri" w:cs="" w:eastAsia="Lucida Sans Unicode" w:hAnsi="Calibri"/>
      <w:lang w:bidi="ar-SA" w:eastAsia="ru-RU" w:val="ru-RU"/>
    </w:rPr>
  </w:style>
  <w:style w:styleId="style44" w:type="paragraph">
    <w:name w:val="Содержимое таблицы"/>
    <w:basedOn w:val="style0"/>
    <w:next w:val="style44"/>
    <w:pPr>
      <w:suppressAutoHyphens w:val="true"/>
      <w:suppressLineNumbers/>
      <w:spacing w:after="0" w:before="0" w:line="100" w:lineRule="atLeast"/>
    </w:pPr>
    <w:rPr>
      <w:sz w:val="28"/>
      <w:szCs w:val="24"/>
      <w:rFonts w:ascii="Times New Roman" w:cs="Times New Roman" w:eastAsia="Times New Roman" w:hAnsi="Times New Roman"/>
      <w:lang w:eastAsia="ar-SA"/>
    </w:rPr>
  </w:style>
  <w:style w:styleId="style45" w:type="paragraph">
    <w:name w:val="Основной текст 31"/>
    <w:basedOn w:val="style33"/>
    <w:next w:val="style45"/>
    <w:pPr/>
    <w:rPr/>
  </w:style>
  <w:style w:styleId="style46" w:type="paragraph">
    <w:name w:val="Верхний колонтитул"/>
    <w:basedOn w:val="style0"/>
    <w:next w:val="style46"/>
    <w:pPr>
      <w:tabs>
        <w:tab w:leader="none" w:pos="4677" w:val="center"/>
        <w:tab w:leader="none" w:pos="9355" w:val="right"/>
      </w:tabs>
      <w:suppressLineNumbers/>
      <w:spacing w:after="0" w:before="0" w:line="100" w:lineRule="atLeast"/>
    </w:pPr>
    <w:rPr/>
  </w:style>
  <w:style w:styleId="style47" w:type="paragraph">
    <w:name w:val="Нижний колонтитул"/>
    <w:basedOn w:val="style0"/>
    <w:next w:val="style47"/>
    <w:pPr>
      <w:tabs>
        <w:tab w:leader="none" w:pos="4677" w:val="center"/>
        <w:tab w:leader="none" w:pos="9355" w:val="right"/>
      </w:tabs>
      <w:suppressLineNumbers/>
      <w:spacing w:after="0" w:before="0" w:line="100" w:lineRule="atLeas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49C9BDA217EFB6543D9F3B46D1833CBFA00D1BD754515B9CA330556788FF24E50F981118464D2F0CAC33BF09f7I" TargetMode="External"/><Relationship Id="rId3" Type="http://schemas.openxmlformats.org/officeDocument/2006/relationships/numbering" Target="numbering.xml"/><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Template>
  <TotalTime>781</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2013-11-11T07:49:00.00Z</dcterms:created>
  <dc:creator>Angel</dc:creator>
  <cp:lastModifiedBy>Angel</cp:lastModifiedBy>
  <cp:lastPrinted>2013-12-16T10:53:27.00Z</cp:lastPrinted>
  <dcterms:modified xsi:type="dcterms:W3CDTF">2013-11-27T08:36:00.00Z</dcterms:modified>
  <cp:revision>55</cp:revision>
</cp:coreProperties>
</file>